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Borders>
          <w:top w:val="thinThickMediumGap" w:sz="24" w:space="0" w:color="auto"/>
          <w:left w:val="thinThickMediumGap" w:sz="24" w:space="0" w:color="auto"/>
          <w:bottom w:val="thickThinMediumGap" w:sz="24" w:space="0" w:color="auto"/>
          <w:right w:val="thickThinMediumGap" w:sz="24" w:space="0" w:color="auto"/>
        </w:tblBorders>
        <w:tblLook w:val="00A0" w:firstRow="1" w:lastRow="0" w:firstColumn="1" w:lastColumn="0" w:noHBand="0" w:noVBand="0"/>
      </w:tblPr>
      <w:tblGrid>
        <w:gridCol w:w="2450"/>
        <w:gridCol w:w="6677"/>
      </w:tblGrid>
      <w:tr w:rsidR="00C42BD5" w:rsidRPr="00E51B46" w14:paraId="19DFCE5C" w14:textId="77777777" w:rsidTr="00E51B46">
        <w:tc>
          <w:tcPr>
            <w:tcW w:w="2515" w:type="dxa"/>
          </w:tcPr>
          <w:p w14:paraId="089077FC" w14:textId="77777777" w:rsidR="00C42BD5" w:rsidRPr="00E51B46" w:rsidRDefault="0018272E" w:rsidP="00E51B46">
            <w:pPr>
              <w:pStyle w:val="Title"/>
              <w:tabs>
                <w:tab w:val="left" w:pos="1440"/>
                <w:tab w:val="left" w:pos="2820"/>
              </w:tabs>
              <w:jc w:val="left"/>
              <w:rPr>
                <w:rFonts w:ascii="Tahoma" w:hAnsi="Tahoma"/>
                <w:sz w:val="32"/>
                <w:szCs w:val="32"/>
              </w:rPr>
            </w:pPr>
            <w:r>
              <w:rPr>
                <w:rFonts w:ascii="Tahoma" w:hAnsi="Tahoma"/>
                <w:noProof/>
                <w:sz w:val="32"/>
                <w:szCs w:val="32"/>
              </w:rPr>
              <w:drawing>
                <wp:inline distT="0" distB="0" distL="0" distR="0" wp14:anchorId="683530D2" wp14:editId="5B9EE5A5">
                  <wp:extent cx="1285875" cy="1028700"/>
                  <wp:effectExtent l="0" t="0" r="9525" b="0"/>
                  <wp:docPr id="1" name="Picture 1" descr="GOBPP logo 3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PP logo 3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028700"/>
                          </a:xfrm>
                          <a:prstGeom prst="rect">
                            <a:avLst/>
                          </a:prstGeom>
                          <a:noFill/>
                          <a:ln>
                            <a:noFill/>
                          </a:ln>
                        </pic:spPr>
                      </pic:pic>
                    </a:graphicData>
                  </a:graphic>
                </wp:inline>
              </w:drawing>
            </w:r>
          </w:p>
        </w:tc>
        <w:tc>
          <w:tcPr>
            <w:tcW w:w="8342" w:type="dxa"/>
          </w:tcPr>
          <w:p w14:paraId="2957BB17" w14:textId="77777777" w:rsidR="00C42BD5" w:rsidRPr="00E51B46" w:rsidRDefault="00C42BD5" w:rsidP="00E51B46">
            <w:pPr>
              <w:pStyle w:val="Title"/>
              <w:tabs>
                <w:tab w:val="left" w:pos="1440"/>
              </w:tabs>
              <w:rPr>
                <w:rFonts w:ascii="Tahoma" w:hAnsi="Tahoma"/>
                <w:sz w:val="32"/>
                <w:szCs w:val="32"/>
              </w:rPr>
            </w:pPr>
          </w:p>
          <w:p w14:paraId="25B13234" w14:textId="771AD3B7" w:rsidR="00C42BD5" w:rsidRPr="00E51B46" w:rsidRDefault="00C42BD5" w:rsidP="00DE2893">
            <w:pPr>
              <w:pStyle w:val="Title"/>
              <w:tabs>
                <w:tab w:val="left" w:pos="1440"/>
              </w:tabs>
              <w:rPr>
                <w:sz w:val="32"/>
                <w:szCs w:val="32"/>
              </w:rPr>
            </w:pPr>
            <w:r w:rsidRPr="00E51B46">
              <w:rPr>
                <w:sz w:val="32"/>
                <w:szCs w:val="32"/>
                <w:u w:val="single"/>
              </w:rPr>
              <w:t>Dedication of Revenue 20</w:t>
            </w:r>
            <w:r w:rsidR="00DE2893">
              <w:rPr>
                <w:sz w:val="32"/>
                <w:szCs w:val="32"/>
                <w:u w:val="single"/>
              </w:rPr>
              <w:t>2</w:t>
            </w:r>
            <w:r w:rsidR="00FC0757">
              <w:rPr>
                <w:sz w:val="32"/>
                <w:szCs w:val="32"/>
                <w:u w:val="single"/>
              </w:rPr>
              <w:t>5</w:t>
            </w:r>
            <w:r w:rsidRPr="00E51B46">
              <w:rPr>
                <w:sz w:val="32"/>
                <w:szCs w:val="32"/>
                <w:u w:val="single"/>
              </w:rPr>
              <w:t xml:space="preserve"> Biennium</w:t>
            </w:r>
          </w:p>
        </w:tc>
      </w:tr>
    </w:tbl>
    <w:p w14:paraId="39FC4E41" w14:textId="77777777" w:rsidR="00C42BD5" w:rsidRDefault="00CD18B7">
      <w:pPr>
        <w:rPr>
          <w:b/>
          <w:sz w:val="24"/>
          <w:szCs w:val="24"/>
        </w:rPr>
      </w:pPr>
      <w:r>
        <w:rPr>
          <w:b/>
          <w:sz w:val="24"/>
          <w:szCs w:val="24"/>
        </w:rPr>
        <w:t>17-1-507, MCA.</w:t>
      </w:r>
    </w:p>
    <w:p w14:paraId="1F52DB3F" w14:textId="77777777" w:rsidR="00FA5D47" w:rsidRPr="00C42BD5" w:rsidRDefault="00FA5D47">
      <w:pPr>
        <w:rPr>
          <w:b/>
          <w:sz w:val="24"/>
          <w:szCs w:val="24"/>
        </w:rPr>
      </w:pPr>
    </w:p>
    <w:tbl>
      <w:tblPr>
        <w:tblW w:w="0" w:type="auto"/>
        <w:tblLook w:val="0000" w:firstRow="0" w:lastRow="0" w:firstColumn="0" w:lastColumn="0" w:noHBand="0" w:noVBand="0"/>
      </w:tblPr>
      <w:tblGrid>
        <w:gridCol w:w="467"/>
        <w:gridCol w:w="8893"/>
      </w:tblGrid>
      <w:tr w:rsidR="00AD7267" w:rsidRPr="00C42BD5" w14:paraId="417A5D98" w14:textId="77777777">
        <w:tc>
          <w:tcPr>
            <w:tcW w:w="468" w:type="dxa"/>
          </w:tcPr>
          <w:p w14:paraId="48B1CC3D" w14:textId="77777777" w:rsidR="00AD7267" w:rsidRPr="00C42BD5" w:rsidRDefault="00AD7267" w:rsidP="00990CDB">
            <w:pPr>
              <w:jc w:val="both"/>
              <w:rPr>
                <w:b/>
                <w:sz w:val="24"/>
              </w:rPr>
            </w:pPr>
            <w:r w:rsidRPr="00C42BD5">
              <w:rPr>
                <w:b/>
                <w:sz w:val="24"/>
              </w:rPr>
              <w:t>a)</w:t>
            </w:r>
          </w:p>
        </w:tc>
        <w:tc>
          <w:tcPr>
            <w:tcW w:w="9108" w:type="dxa"/>
          </w:tcPr>
          <w:p w14:paraId="67F51D85" w14:textId="77777777" w:rsidR="00AD7267" w:rsidRPr="00C42BD5" w:rsidRDefault="00AD7267" w:rsidP="00990CDB">
            <w:pPr>
              <w:jc w:val="both"/>
              <w:rPr>
                <w:b/>
                <w:sz w:val="24"/>
              </w:rPr>
            </w:pPr>
            <w:r w:rsidRPr="00C42BD5">
              <w:rPr>
                <w:b/>
                <w:sz w:val="24"/>
              </w:rPr>
              <w:t>Are there persons or entities that benefit from this dedicated revenue that do not pay? (please explain)</w:t>
            </w:r>
          </w:p>
        </w:tc>
      </w:tr>
      <w:tr w:rsidR="00AD7267" w14:paraId="146C130B" w14:textId="77777777">
        <w:trPr>
          <w:trHeight w:val="720"/>
        </w:trPr>
        <w:tc>
          <w:tcPr>
            <w:tcW w:w="468" w:type="dxa"/>
          </w:tcPr>
          <w:p w14:paraId="0E6567BD" w14:textId="77777777" w:rsidR="00AD7267" w:rsidRDefault="00AD7267" w:rsidP="00990CDB">
            <w:pPr>
              <w:jc w:val="both"/>
              <w:rPr>
                <w:sz w:val="24"/>
              </w:rPr>
            </w:pPr>
          </w:p>
        </w:tc>
        <w:tc>
          <w:tcPr>
            <w:tcW w:w="9108" w:type="dxa"/>
          </w:tcPr>
          <w:p w14:paraId="63497721" w14:textId="77777777" w:rsidR="00AD7267" w:rsidRDefault="00AD7267" w:rsidP="00990CDB">
            <w:pPr>
              <w:jc w:val="both"/>
              <w:rPr>
                <w:sz w:val="24"/>
              </w:rPr>
            </w:pPr>
          </w:p>
        </w:tc>
      </w:tr>
      <w:tr w:rsidR="00AD7267" w:rsidRPr="00C42BD5" w14:paraId="4BF20ECB" w14:textId="77777777">
        <w:tc>
          <w:tcPr>
            <w:tcW w:w="468" w:type="dxa"/>
          </w:tcPr>
          <w:p w14:paraId="11234F9C" w14:textId="77777777" w:rsidR="00AD7267" w:rsidRPr="00C42BD5" w:rsidRDefault="00AD7267" w:rsidP="00990CDB">
            <w:pPr>
              <w:jc w:val="both"/>
              <w:rPr>
                <w:b/>
                <w:sz w:val="24"/>
              </w:rPr>
            </w:pPr>
            <w:r w:rsidRPr="00C42BD5">
              <w:rPr>
                <w:b/>
                <w:sz w:val="24"/>
              </w:rPr>
              <w:t>b)</w:t>
            </w:r>
          </w:p>
        </w:tc>
        <w:tc>
          <w:tcPr>
            <w:tcW w:w="9108" w:type="dxa"/>
          </w:tcPr>
          <w:p w14:paraId="12B1D982" w14:textId="77777777" w:rsidR="00AD7267" w:rsidRPr="00C42BD5" w:rsidRDefault="00AD7267" w:rsidP="00990CDB">
            <w:pPr>
              <w:jc w:val="both"/>
              <w:rPr>
                <w:b/>
                <w:sz w:val="24"/>
              </w:rPr>
            </w:pPr>
            <w:r w:rsidRPr="00C42BD5">
              <w:rPr>
                <w:b/>
                <w:sz w:val="24"/>
              </w:rPr>
              <w:t xml:space="preserve">What special information or other advantages exist </w:t>
            </w:r>
            <w:proofErr w:type="gramStart"/>
            <w:r w:rsidRPr="00C42BD5">
              <w:rPr>
                <w:b/>
                <w:sz w:val="24"/>
              </w:rPr>
              <w:t>as a result of</w:t>
            </w:r>
            <w:proofErr w:type="gramEnd"/>
            <w:r w:rsidRPr="00C42BD5">
              <w:rPr>
                <w:b/>
                <w:sz w:val="24"/>
              </w:rPr>
              <w:t xml:space="preserve"> using a state special revenue fund that could not be obtained if the revenue were allocated to the general fund?</w:t>
            </w:r>
          </w:p>
        </w:tc>
      </w:tr>
      <w:tr w:rsidR="00AD7267" w14:paraId="4A464C20" w14:textId="77777777">
        <w:trPr>
          <w:trHeight w:val="720"/>
        </w:trPr>
        <w:tc>
          <w:tcPr>
            <w:tcW w:w="468" w:type="dxa"/>
          </w:tcPr>
          <w:p w14:paraId="202E4EED" w14:textId="77777777" w:rsidR="00AD7267" w:rsidRDefault="00AD7267" w:rsidP="00990CDB">
            <w:pPr>
              <w:jc w:val="both"/>
              <w:rPr>
                <w:sz w:val="24"/>
              </w:rPr>
            </w:pPr>
          </w:p>
        </w:tc>
        <w:tc>
          <w:tcPr>
            <w:tcW w:w="9108" w:type="dxa"/>
          </w:tcPr>
          <w:p w14:paraId="2B969106" w14:textId="77777777" w:rsidR="00AD7267" w:rsidRDefault="00AD7267" w:rsidP="00990CDB">
            <w:pPr>
              <w:jc w:val="both"/>
              <w:rPr>
                <w:sz w:val="24"/>
              </w:rPr>
            </w:pPr>
          </w:p>
        </w:tc>
      </w:tr>
      <w:tr w:rsidR="00AD7267" w:rsidRPr="00C42BD5" w14:paraId="3DFABBAF" w14:textId="77777777">
        <w:tc>
          <w:tcPr>
            <w:tcW w:w="468" w:type="dxa"/>
          </w:tcPr>
          <w:p w14:paraId="05E34344" w14:textId="77777777" w:rsidR="00AD7267" w:rsidRPr="00C42BD5" w:rsidRDefault="00AD7267" w:rsidP="00990CDB">
            <w:pPr>
              <w:jc w:val="both"/>
              <w:rPr>
                <w:b/>
                <w:sz w:val="24"/>
              </w:rPr>
            </w:pPr>
            <w:r w:rsidRPr="00C42BD5">
              <w:rPr>
                <w:b/>
                <w:sz w:val="24"/>
              </w:rPr>
              <w:t>c)</w:t>
            </w:r>
          </w:p>
        </w:tc>
        <w:tc>
          <w:tcPr>
            <w:tcW w:w="9108" w:type="dxa"/>
          </w:tcPr>
          <w:p w14:paraId="7A9840CC" w14:textId="77777777" w:rsidR="00AD7267" w:rsidRPr="00C42BD5" w:rsidRDefault="00AD7267" w:rsidP="00990CDB">
            <w:pPr>
              <w:jc w:val="both"/>
              <w:rPr>
                <w:b/>
                <w:sz w:val="24"/>
              </w:rPr>
            </w:pPr>
            <w:r w:rsidRPr="00C42BD5">
              <w:rPr>
                <w:b/>
                <w:sz w:val="24"/>
              </w:rPr>
              <w:t>Is the source of revenue relevant to current use of the funds and adequate to fund the program activity that is intended?  Yes / No  (if no, explain)</w:t>
            </w:r>
          </w:p>
        </w:tc>
      </w:tr>
      <w:tr w:rsidR="00AD7267" w14:paraId="2291A3D2" w14:textId="77777777">
        <w:trPr>
          <w:trHeight w:val="720"/>
        </w:trPr>
        <w:tc>
          <w:tcPr>
            <w:tcW w:w="468" w:type="dxa"/>
          </w:tcPr>
          <w:p w14:paraId="56FEFFDD" w14:textId="77777777" w:rsidR="00AD7267" w:rsidRDefault="00AD7267" w:rsidP="00990CDB">
            <w:pPr>
              <w:jc w:val="both"/>
              <w:rPr>
                <w:sz w:val="24"/>
              </w:rPr>
            </w:pPr>
          </w:p>
        </w:tc>
        <w:tc>
          <w:tcPr>
            <w:tcW w:w="9108" w:type="dxa"/>
          </w:tcPr>
          <w:p w14:paraId="0FAAB294" w14:textId="77777777" w:rsidR="00AD7267" w:rsidRDefault="00AD7267" w:rsidP="00990CDB">
            <w:pPr>
              <w:jc w:val="both"/>
              <w:rPr>
                <w:sz w:val="24"/>
              </w:rPr>
            </w:pPr>
          </w:p>
        </w:tc>
      </w:tr>
      <w:tr w:rsidR="00AD7267" w:rsidRPr="00C42BD5" w14:paraId="1DAE2652" w14:textId="77777777">
        <w:tc>
          <w:tcPr>
            <w:tcW w:w="468" w:type="dxa"/>
          </w:tcPr>
          <w:p w14:paraId="484670C7" w14:textId="77777777" w:rsidR="00AD7267" w:rsidRPr="00C42BD5" w:rsidRDefault="00AD7267" w:rsidP="00990CDB">
            <w:pPr>
              <w:jc w:val="both"/>
              <w:rPr>
                <w:b/>
                <w:sz w:val="24"/>
              </w:rPr>
            </w:pPr>
            <w:r w:rsidRPr="00C42BD5">
              <w:rPr>
                <w:b/>
                <w:sz w:val="24"/>
              </w:rPr>
              <w:t>d)</w:t>
            </w:r>
          </w:p>
        </w:tc>
        <w:tc>
          <w:tcPr>
            <w:tcW w:w="9108" w:type="dxa"/>
          </w:tcPr>
          <w:p w14:paraId="516152B1" w14:textId="77777777" w:rsidR="00AD7267" w:rsidRPr="00C42BD5" w:rsidRDefault="00AD7267" w:rsidP="00990CDB">
            <w:pPr>
              <w:jc w:val="both"/>
              <w:rPr>
                <w:b/>
                <w:sz w:val="24"/>
              </w:rPr>
            </w:pPr>
            <w:r w:rsidRPr="00C42BD5">
              <w:rPr>
                <w:b/>
                <w:sz w:val="24"/>
              </w:rPr>
              <w:t>Does the need for this state special revenue provision still exist?  ___Yes  ___No (Explain)</w:t>
            </w:r>
          </w:p>
        </w:tc>
      </w:tr>
      <w:tr w:rsidR="00AD7267" w14:paraId="3EF833F6" w14:textId="77777777">
        <w:trPr>
          <w:trHeight w:val="720"/>
        </w:trPr>
        <w:tc>
          <w:tcPr>
            <w:tcW w:w="468" w:type="dxa"/>
          </w:tcPr>
          <w:p w14:paraId="3D00DF59" w14:textId="77777777" w:rsidR="00AD7267" w:rsidRDefault="00AD7267" w:rsidP="00990CDB">
            <w:pPr>
              <w:jc w:val="both"/>
              <w:rPr>
                <w:sz w:val="24"/>
              </w:rPr>
            </w:pPr>
          </w:p>
        </w:tc>
        <w:tc>
          <w:tcPr>
            <w:tcW w:w="9108" w:type="dxa"/>
          </w:tcPr>
          <w:p w14:paraId="65851EB7" w14:textId="77777777" w:rsidR="00AD7267" w:rsidRDefault="00AD7267" w:rsidP="00990CDB">
            <w:pPr>
              <w:jc w:val="both"/>
              <w:rPr>
                <w:sz w:val="24"/>
              </w:rPr>
            </w:pPr>
          </w:p>
        </w:tc>
      </w:tr>
      <w:tr w:rsidR="00AD7267" w:rsidRPr="00C42BD5" w14:paraId="23A41DE3" w14:textId="77777777">
        <w:tc>
          <w:tcPr>
            <w:tcW w:w="468" w:type="dxa"/>
          </w:tcPr>
          <w:p w14:paraId="52EE4A45" w14:textId="77777777" w:rsidR="00AD7267" w:rsidRPr="00C42BD5" w:rsidRDefault="00AD7267" w:rsidP="00990CDB">
            <w:pPr>
              <w:jc w:val="both"/>
              <w:rPr>
                <w:b/>
                <w:sz w:val="24"/>
              </w:rPr>
            </w:pPr>
            <w:r w:rsidRPr="00C42BD5">
              <w:rPr>
                <w:b/>
                <w:sz w:val="24"/>
              </w:rPr>
              <w:t>e)</w:t>
            </w:r>
          </w:p>
        </w:tc>
        <w:tc>
          <w:tcPr>
            <w:tcW w:w="9108" w:type="dxa"/>
          </w:tcPr>
          <w:p w14:paraId="1AA4141B" w14:textId="77777777" w:rsidR="00AD7267" w:rsidRPr="00C42BD5" w:rsidRDefault="00AD7267" w:rsidP="00990CDB">
            <w:pPr>
              <w:jc w:val="both"/>
              <w:rPr>
                <w:b/>
                <w:sz w:val="24"/>
              </w:rPr>
            </w:pPr>
            <w:r w:rsidRPr="00C42BD5">
              <w:rPr>
                <w:b/>
                <w:sz w:val="24"/>
              </w:rPr>
              <w:t>Does the dedicated revenue affect the legislature’s ability to scrutinize budgets, control expenditures, or establish priorities for state spending?  (Please Explain)</w:t>
            </w:r>
          </w:p>
        </w:tc>
      </w:tr>
      <w:tr w:rsidR="00AD7267" w14:paraId="5EF08C02" w14:textId="77777777">
        <w:trPr>
          <w:trHeight w:val="720"/>
        </w:trPr>
        <w:tc>
          <w:tcPr>
            <w:tcW w:w="468" w:type="dxa"/>
          </w:tcPr>
          <w:p w14:paraId="6A1B4B47" w14:textId="77777777" w:rsidR="00AD7267" w:rsidRDefault="00AD7267" w:rsidP="00990CDB">
            <w:pPr>
              <w:jc w:val="both"/>
              <w:rPr>
                <w:sz w:val="24"/>
              </w:rPr>
            </w:pPr>
          </w:p>
        </w:tc>
        <w:tc>
          <w:tcPr>
            <w:tcW w:w="9108" w:type="dxa"/>
          </w:tcPr>
          <w:p w14:paraId="3423DD60" w14:textId="77777777" w:rsidR="00AD7267" w:rsidRDefault="00AD7267" w:rsidP="00990CDB">
            <w:pPr>
              <w:jc w:val="both"/>
              <w:rPr>
                <w:sz w:val="24"/>
              </w:rPr>
            </w:pPr>
          </w:p>
        </w:tc>
      </w:tr>
      <w:tr w:rsidR="00AD7267" w:rsidRPr="00C42BD5" w14:paraId="78362134" w14:textId="77777777">
        <w:tc>
          <w:tcPr>
            <w:tcW w:w="468" w:type="dxa"/>
          </w:tcPr>
          <w:p w14:paraId="4D38044A" w14:textId="77777777" w:rsidR="00AD7267" w:rsidRPr="00C42BD5" w:rsidRDefault="00AD7267" w:rsidP="00990CDB">
            <w:pPr>
              <w:jc w:val="both"/>
              <w:rPr>
                <w:b/>
                <w:sz w:val="24"/>
              </w:rPr>
            </w:pPr>
            <w:r w:rsidRPr="00C42BD5">
              <w:rPr>
                <w:b/>
                <w:sz w:val="24"/>
              </w:rPr>
              <w:t>f)</w:t>
            </w:r>
          </w:p>
        </w:tc>
        <w:tc>
          <w:tcPr>
            <w:tcW w:w="9108" w:type="dxa"/>
          </w:tcPr>
          <w:p w14:paraId="7909635F" w14:textId="77777777" w:rsidR="00AD7267" w:rsidRPr="00C42BD5" w:rsidRDefault="00AD7267" w:rsidP="00990CDB">
            <w:pPr>
              <w:jc w:val="both"/>
              <w:rPr>
                <w:b/>
                <w:sz w:val="24"/>
              </w:rPr>
            </w:pPr>
            <w:r w:rsidRPr="00C42BD5">
              <w:rPr>
                <w:b/>
                <w:sz w:val="24"/>
              </w:rPr>
              <w:t>Does the dedicated revenue fulfill a continuing, legislatively recognized need?  (Please Explain)</w:t>
            </w:r>
          </w:p>
        </w:tc>
      </w:tr>
      <w:tr w:rsidR="00AD7267" w14:paraId="0CD9B3F7" w14:textId="77777777">
        <w:trPr>
          <w:trHeight w:val="720"/>
        </w:trPr>
        <w:tc>
          <w:tcPr>
            <w:tcW w:w="468" w:type="dxa"/>
          </w:tcPr>
          <w:p w14:paraId="4FA4C518" w14:textId="77777777" w:rsidR="00AD7267" w:rsidRDefault="00AD7267" w:rsidP="00990CDB">
            <w:pPr>
              <w:jc w:val="both"/>
              <w:rPr>
                <w:sz w:val="24"/>
              </w:rPr>
            </w:pPr>
          </w:p>
        </w:tc>
        <w:tc>
          <w:tcPr>
            <w:tcW w:w="9108" w:type="dxa"/>
          </w:tcPr>
          <w:p w14:paraId="7F2A17A3" w14:textId="77777777" w:rsidR="00AD7267" w:rsidRDefault="00AD7267" w:rsidP="00990CDB">
            <w:pPr>
              <w:jc w:val="both"/>
              <w:rPr>
                <w:sz w:val="24"/>
              </w:rPr>
            </w:pPr>
          </w:p>
        </w:tc>
      </w:tr>
      <w:tr w:rsidR="00AD7267" w:rsidRPr="00C42BD5" w14:paraId="475E0A1E" w14:textId="77777777">
        <w:tc>
          <w:tcPr>
            <w:tcW w:w="468" w:type="dxa"/>
          </w:tcPr>
          <w:p w14:paraId="16D9C600" w14:textId="77777777" w:rsidR="00AD7267" w:rsidRPr="00C42BD5" w:rsidRDefault="00AD7267" w:rsidP="00990CDB">
            <w:pPr>
              <w:jc w:val="both"/>
              <w:rPr>
                <w:b/>
                <w:sz w:val="24"/>
              </w:rPr>
            </w:pPr>
            <w:r w:rsidRPr="00C42BD5">
              <w:rPr>
                <w:b/>
                <w:sz w:val="24"/>
              </w:rPr>
              <w:t>g)</w:t>
            </w:r>
          </w:p>
        </w:tc>
        <w:tc>
          <w:tcPr>
            <w:tcW w:w="9108" w:type="dxa"/>
          </w:tcPr>
          <w:p w14:paraId="3B8DBB7A" w14:textId="77777777" w:rsidR="00AD7267" w:rsidRPr="00C42BD5" w:rsidRDefault="00AD7267" w:rsidP="00990CDB">
            <w:pPr>
              <w:jc w:val="both"/>
              <w:rPr>
                <w:b/>
                <w:sz w:val="24"/>
              </w:rPr>
            </w:pPr>
            <w:r w:rsidRPr="00C42BD5">
              <w:rPr>
                <w:b/>
                <w:sz w:val="24"/>
              </w:rPr>
              <w:t>How does the dedicated revenue provision result in accounting/auditing efficiencies or inefficiencies in your agency?  (Please Explain.  Also, if the program/activity were general funded, could you adequately account for the program/activity?)</w:t>
            </w:r>
          </w:p>
        </w:tc>
      </w:tr>
      <w:tr w:rsidR="00AD7267" w14:paraId="1331266B" w14:textId="77777777">
        <w:trPr>
          <w:trHeight w:val="720"/>
        </w:trPr>
        <w:tc>
          <w:tcPr>
            <w:tcW w:w="468" w:type="dxa"/>
          </w:tcPr>
          <w:p w14:paraId="7DB6EFB8" w14:textId="77777777" w:rsidR="00AD7267" w:rsidRDefault="00AD7267" w:rsidP="00990CDB">
            <w:pPr>
              <w:jc w:val="both"/>
              <w:rPr>
                <w:sz w:val="24"/>
              </w:rPr>
            </w:pPr>
          </w:p>
        </w:tc>
        <w:tc>
          <w:tcPr>
            <w:tcW w:w="9108" w:type="dxa"/>
          </w:tcPr>
          <w:p w14:paraId="6E176957" w14:textId="77777777" w:rsidR="00AD7267" w:rsidRDefault="00AD7267" w:rsidP="00990CDB">
            <w:pPr>
              <w:jc w:val="both"/>
              <w:rPr>
                <w:sz w:val="24"/>
              </w:rPr>
            </w:pPr>
          </w:p>
        </w:tc>
      </w:tr>
    </w:tbl>
    <w:p w14:paraId="5F9B9B6E" w14:textId="77777777" w:rsidR="00AD7267" w:rsidRDefault="00AD7267" w:rsidP="00FC0757">
      <w:pPr>
        <w:jc w:val="both"/>
        <w:rPr>
          <w:sz w:val="24"/>
        </w:rPr>
      </w:pPr>
    </w:p>
    <w:p w14:paraId="057678D1" w14:textId="77777777" w:rsidR="00FC0757" w:rsidRPr="00FC0757" w:rsidRDefault="00FC0757" w:rsidP="00FC0757">
      <w:pPr>
        <w:pStyle w:val="line-indent"/>
        <w:shd w:val="clear" w:color="auto" w:fill="FFFFFF"/>
        <w:spacing w:before="0" w:beforeAutospacing="0" w:after="0" w:afterAutospacing="0"/>
        <w:ind w:firstLine="312"/>
        <w:jc w:val="both"/>
        <w:rPr>
          <w:rFonts w:ascii="Arial" w:hAnsi="Arial" w:cs="Arial"/>
          <w:color w:val="333333"/>
          <w:sz w:val="16"/>
          <w:szCs w:val="16"/>
        </w:rPr>
      </w:pPr>
      <w:r w:rsidRPr="00FC0757">
        <w:rPr>
          <w:rStyle w:val="citation"/>
          <w:rFonts w:ascii="Arial" w:hAnsi="Arial" w:cs="Arial"/>
          <w:b/>
          <w:bCs/>
          <w:color w:val="333333"/>
          <w:sz w:val="16"/>
          <w:szCs w:val="16"/>
        </w:rPr>
        <w:t>17-1-507</w:t>
      </w:r>
      <w:r w:rsidRPr="00FC0757">
        <w:rPr>
          <w:rStyle w:val="catchline"/>
          <w:rFonts w:ascii="Arial" w:hAnsi="Arial" w:cs="Arial"/>
          <w:b/>
          <w:bCs/>
          <w:color w:val="333333"/>
          <w:sz w:val="16"/>
          <w:szCs w:val="16"/>
        </w:rPr>
        <w:t>.</w:t>
      </w:r>
      <w:r w:rsidRPr="00FC0757">
        <w:rPr>
          <w:rStyle w:val="catchline"/>
          <w:rFonts w:ascii="Arial" w:hAnsi="Arial" w:cs="Arial"/>
          <w:b/>
          <w:bCs/>
          <w:color w:val="333333"/>
          <w:sz w:val="16"/>
          <w:szCs w:val="16"/>
        </w:rPr>
        <w:t> </w:t>
      </w:r>
      <w:r w:rsidRPr="00FC0757">
        <w:rPr>
          <w:rStyle w:val="catchline"/>
          <w:rFonts w:ascii="Arial" w:hAnsi="Arial" w:cs="Arial"/>
          <w:b/>
          <w:bCs/>
          <w:color w:val="333333"/>
          <w:sz w:val="16"/>
          <w:szCs w:val="16"/>
        </w:rPr>
        <w:t>Principles of revenue dedication.</w:t>
      </w:r>
      <w:r w:rsidRPr="00FC0757">
        <w:rPr>
          <w:rFonts w:ascii="Arial" w:hAnsi="Arial" w:cs="Arial"/>
          <w:color w:val="333333"/>
          <w:sz w:val="16"/>
          <w:szCs w:val="16"/>
        </w:rPr>
        <w:t xml:space="preserve"> (1) It is the policy of the legislature that a revenue source </w:t>
      </w:r>
      <w:proofErr w:type="gramStart"/>
      <w:r w:rsidRPr="00FC0757">
        <w:rPr>
          <w:rFonts w:ascii="Arial" w:hAnsi="Arial" w:cs="Arial"/>
          <w:color w:val="333333"/>
          <w:sz w:val="16"/>
          <w:szCs w:val="16"/>
        </w:rPr>
        <w:t>not be</w:t>
      </w:r>
      <w:proofErr w:type="gramEnd"/>
      <w:r w:rsidRPr="00FC0757">
        <w:rPr>
          <w:rFonts w:ascii="Arial" w:hAnsi="Arial" w:cs="Arial"/>
          <w:color w:val="333333"/>
          <w:sz w:val="16"/>
          <w:szCs w:val="16"/>
        </w:rPr>
        <w:t xml:space="preserve"> dedicated for a specific purpose unless one or more of the following conditions are met:</w:t>
      </w:r>
    </w:p>
    <w:p w14:paraId="2D05A2F3" w14:textId="77777777" w:rsidR="00FC0757" w:rsidRPr="00FC0757" w:rsidRDefault="00FC0757" w:rsidP="00FC0757">
      <w:pPr>
        <w:pStyle w:val="line-indent"/>
        <w:shd w:val="clear" w:color="auto" w:fill="FFFFFF"/>
        <w:spacing w:before="0" w:beforeAutospacing="0" w:after="0" w:afterAutospacing="0"/>
        <w:ind w:firstLine="312"/>
        <w:jc w:val="both"/>
        <w:rPr>
          <w:rFonts w:ascii="Arial" w:hAnsi="Arial" w:cs="Arial"/>
          <w:color w:val="333333"/>
          <w:sz w:val="16"/>
          <w:szCs w:val="16"/>
        </w:rPr>
      </w:pPr>
      <w:r w:rsidRPr="00FC0757">
        <w:rPr>
          <w:rFonts w:ascii="Arial" w:hAnsi="Arial" w:cs="Arial"/>
          <w:color w:val="333333"/>
          <w:sz w:val="16"/>
          <w:szCs w:val="16"/>
        </w:rPr>
        <w:t>(a)</w:t>
      </w:r>
      <w:r w:rsidRPr="00FC0757">
        <w:rPr>
          <w:rFonts w:ascii="Arial" w:hAnsi="Arial" w:cs="Arial"/>
          <w:color w:val="333333"/>
          <w:sz w:val="16"/>
          <w:szCs w:val="16"/>
        </w:rPr>
        <w:t> </w:t>
      </w:r>
      <w:r w:rsidRPr="00FC0757">
        <w:rPr>
          <w:rFonts w:ascii="Arial" w:hAnsi="Arial" w:cs="Arial"/>
          <w:color w:val="333333"/>
          <w:sz w:val="16"/>
          <w:szCs w:val="16"/>
        </w:rPr>
        <w:t>The person or entity paying the tax, fee, or assessment is the direct beneficiary of the specific activity that is funded by the tax, fee, or assessment; the entire cost of the activity is paid by the beneficiary; and the tax, fee, or assessment paid is commensurate with the cost of the activity, including reasonable administrative costs.</w:t>
      </w:r>
    </w:p>
    <w:p w14:paraId="4C490085" w14:textId="77777777" w:rsidR="00FC0757" w:rsidRPr="00FC0757" w:rsidRDefault="00FC0757" w:rsidP="00FC0757">
      <w:pPr>
        <w:pStyle w:val="line-indent"/>
        <w:shd w:val="clear" w:color="auto" w:fill="FFFFFF"/>
        <w:spacing w:before="0" w:beforeAutospacing="0" w:after="0" w:afterAutospacing="0"/>
        <w:ind w:firstLine="312"/>
        <w:jc w:val="both"/>
        <w:rPr>
          <w:rFonts w:ascii="Arial" w:hAnsi="Arial" w:cs="Arial"/>
          <w:color w:val="333333"/>
          <w:sz w:val="16"/>
          <w:szCs w:val="16"/>
        </w:rPr>
      </w:pPr>
      <w:r w:rsidRPr="00FC0757">
        <w:rPr>
          <w:rFonts w:ascii="Arial" w:hAnsi="Arial" w:cs="Arial"/>
          <w:color w:val="333333"/>
          <w:sz w:val="16"/>
          <w:szCs w:val="16"/>
        </w:rPr>
        <w:t>(b)</w:t>
      </w:r>
      <w:r w:rsidRPr="00FC0757">
        <w:rPr>
          <w:rFonts w:ascii="Arial" w:hAnsi="Arial" w:cs="Arial"/>
          <w:color w:val="333333"/>
          <w:sz w:val="16"/>
          <w:szCs w:val="16"/>
        </w:rPr>
        <w:t> </w:t>
      </w:r>
      <w:r w:rsidRPr="00FC0757">
        <w:rPr>
          <w:rFonts w:ascii="Arial" w:hAnsi="Arial" w:cs="Arial"/>
          <w:color w:val="333333"/>
          <w:sz w:val="16"/>
          <w:szCs w:val="16"/>
        </w:rPr>
        <w:t>There is an expectation that funds donated by a person or entity will be used for a specified purpose. Grants from private or public entities are considered donations under this subsection.</w:t>
      </w:r>
    </w:p>
    <w:p w14:paraId="27A5C9A8" w14:textId="77777777" w:rsidR="00FC0757" w:rsidRPr="00FC0757" w:rsidRDefault="00FC0757" w:rsidP="00FC0757">
      <w:pPr>
        <w:pStyle w:val="line-indent"/>
        <w:shd w:val="clear" w:color="auto" w:fill="FFFFFF"/>
        <w:spacing w:before="0" w:beforeAutospacing="0" w:after="0" w:afterAutospacing="0"/>
        <w:ind w:firstLine="312"/>
        <w:jc w:val="both"/>
        <w:rPr>
          <w:rFonts w:ascii="Arial" w:hAnsi="Arial" w:cs="Arial"/>
          <w:color w:val="333333"/>
          <w:sz w:val="16"/>
          <w:szCs w:val="16"/>
        </w:rPr>
      </w:pPr>
      <w:r w:rsidRPr="00FC0757">
        <w:rPr>
          <w:rFonts w:ascii="Arial" w:hAnsi="Arial" w:cs="Arial"/>
          <w:color w:val="333333"/>
          <w:sz w:val="16"/>
          <w:szCs w:val="16"/>
        </w:rPr>
        <w:lastRenderedPageBreak/>
        <w:t>(c)</w:t>
      </w:r>
      <w:r w:rsidRPr="00FC0757">
        <w:rPr>
          <w:rFonts w:ascii="Arial" w:hAnsi="Arial" w:cs="Arial"/>
          <w:color w:val="333333"/>
          <w:sz w:val="16"/>
          <w:szCs w:val="16"/>
        </w:rPr>
        <w:t> </w:t>
      </w:r>
      <w:r w:rsidRPr="00FC0757">
        <w:rPr>
          <w:rFonts w:ascii="Arial" w:hAnsi="Arial" w:cs="Arial"/>
          <w:color w:val="333333"/>
          <w:sz w:val="16"/>
          <w:szCs w:val="16"/>
        </w:rPr>
        <w:t>There is a legal basis for the revenue dedication. A legal basis is a constitutional mandate, federal mandate, or statutory requirement in which a source of funds is designated for a specific purpose.</w:t>
      </w:r>
    </w:p>
    <w:p w14:paraId="1E35F59E" w14:textId="77777777" w:rsidR="00FC0757" w:rsidRPr="00FC0757" w:rsidRDefault="00FC0757" w:rsidP="00FC0757">
      <w:pPr>
        <w:pStyle w:val="line-indent"/>
        <w:shd w:val="clear" w:color="auto" w:fill="FFFFFF"/>
        <w:spacing w:before="0" w:beforeAutospacing="0" w:after="0" w:afterAutospacing="0"/>
        <w:ind w:firstLine="312"/>
        <w:jc w:val="both"/>
        <w:rPr>
          <w:rFonts w:ascii="Arial" w:hAnsi="Arial" w:cs="Arial"/>
          <w:color w:val="333333"/>
          <w:sz w:val="16"/>
          <w:szCs w:val="16"/>
        </w:rPr>
      </w:pPr>
      <w:r w:rsidRPr="00FC0757">
        <w:rPr>
          <w:rFonts w:ascii="Arial" w:hAnsi="Arial" w:cs="Arial"/>
          <w:color w:val="333333"/>
          <w:sz w:val="16"/>
          <w:szCs w:val="16"/>
        </w:rPr>
        <w:t>(d)</w:t>
      </w:r>
      <w:r w:rsidRPr="00FC0757">
        <w:rPr>
          <w:rFonts w:ascii="Arial" w:hAnsi="Arial" w:cs="Arial"/>
          <w:color w:val="333333"/>
          <w:sz w:val="16"/>
          <w:szCs w:val="16"/>
        </w:rPr>
        <w:t> </w:t>
      </w:r>
      <w:r w:rsidRPr="00FC0757">
        <w:rPr>
          <w:rFonts w:ascii="Arial" w:hAnsi="Arial" w:cs="Arial"/>
          <w:color w:val="333333"/>
          <w:sz w:val="16"/>
          <w:szCs w:val="16"/>
        </w:rPr>
        <w:t>There is a recognized need for accountability through a separation of funding from the general fund consistent with generally accepted accounting principles.</w:t>
      </w:r>
    </w:p>
    <w:p w14:paraId="171C8219" w14:textId="77777777" w:rsidR="00FC0757" w:rsidRPr="00FC0757" w:rsidRDefault="00FC0757" w:rsidP="00FC0757">
      <w:pPr>
        <w:pStyle w:val="line-indent"/>
        <w:shd w:val="clear" w:color="auto" w:fill="FFFFFF"/>
        <w:spacing w:before="0" w:beforeAutospacing="0" w:after="0" w:afterAutospacing="0"/>
        <w:ind w:firstLine="312"/>
        <w:jc w:val="both"/>
        <w:rPr>
          <w:rFonts w:ascii="Arial" w:hAnsi="Arial" w:cs="Arial"/>
          <w:color w:val="333333"/>
          <w:sz w:val="16"/>
          <w:szCs w:val="16"/>
        </w:rPr>
      </w:pPr>
      <w:r w:rsidRPr="00FC0757">
        <w:rPr>
          <w:rFonts w:ascii="Arial" w:hAnsi="Arial" w:cs="Arial"/>
          <w:color w:val="333333"/>
          <w:sz w:val="16"/>
          <w:szCs w:val="16"/>
        </w:rPr>
        <w:t>(2)</w:t>
      </w:r>
      <w:r w:rsidRPr="00FC0757">
        <w:rPr>
          <w:rFonts w:ascii="Arial" w:hAnsi="Arial" w:cs="Arial"/>
          <w:color w:val="333333"/>
          <w:sz w:val="16"/>
          <w:szCs w:val="16"/>
        </w:rPr>
        <w:t> </w:t>
      </w:r>
      <w:r w:rsidRPr="00FC0757">
        <w:rPr>
          <w:rFonts w:ascii="Arial" w:hAnsi="Arial" w:cs="Arial"/>
          <w:color w:val="333333"/>
          <w:sz w:val="16"/>
          <w:szCs w:val="16"/>
        </w:rPr>
        <w:t>The total funding for a program is a legislative budget and policy issue for which a dedicated revenue provision may not be justified if:</w:t>
      </w:r>
    </w:p>
    <w:p w14:paraId="3BB7A870" w14:textId="77777777" w:rsidR="00FC0757" w:rsidRPr="00FC0757" w:rsidRDefault="00FC0757" w:rsidP="00FC0757">
      <w:pPr>
        <w:pStyle w:val="line-indent"/>
        <w:shd w:val="clear" w:color="auto" w:fill="FFFFFF"/>
        <w:spacing w:before="0" w:beforeAutospacing="0" w:after="0" w:afterAutospacing="0"/>
        <w:ind w:firstLine="312"/>
        <w:jc w:val="both"/>
        <w:rPr>
          <w:rFonts w:ascii="Arial" w:hAnsi="Arial" w:cs="Arial"/>
          <w:color w:val="333333"/>
          <w:sz w:val="16"/>
          <w:szCs w:val="16"/>
        </w:rPr>
      </w:pPr>
      <w:r w:rsidRPr="00FC0757">
        <w:rPr>
          <w:rFonts w:ascii="Arial" w:hAnsi="Arial" w:cs="Arial"/>
          <w:color w:val="333333"/>
          <w:sz w:val="16"/>
          <w:szCs w:val="16"/>
        </w:rPr>
        <w:t>(a)</w:t>
      </w:r>
      <w:r w:rsidRPr="00FC0757">
        <w:rPr>
          <w:rFonts w:ascii="Arial" w:hAnsi="Arial" w:cs="Arial"/>
          <w:color w:val="333333"/>
          <w:sz w:val="16"/>
          <w:szCs w:val="16"/>
        </w:rPr>
        <w:t> </w:t>
      </w:r>
      <w:r w:rsidRPr="00FC0757">
        <w:rPr>
          <w:rFonts w:ascii="Arial" w:hAnsi="Arial" w:cs="Arial"/>
          <w:color w:val="333333"/>
          <w:sz w:val="16"/>
          <w:szCs w:val="16"/>
        </w:rPr>
        <w:t>a general fund appropriation is needed to supplement the dedicated revenue support for the program or activity; or</w:t>
      </w:r>
    </w:p>
    <w:p w14:paraId="0FC5A2BD" w14:textId="77777777" w:rsidR="00FC0757" w:rsidRPr="00FC0757" w:rsidRDefault="00FC0757" w:rsidP="00FC0757">
      <w:pPr>
        <w:pStyle w:val="line-indent"/>
        <w:shd w:val="clear" w:color="auto" w:fill="FFFFFF"/>
        <w:spacing w:before="0" w:beforeAutospacing="0" w:after="0" w:afterAutospacing="0"/>
        <w:ind w:firstLine="312"/>
        <w:jc w:val="both"/>
        <w:rPr>
          <w:rFonts w:ascii="Arial" w:hAnsi="Arial" w:cs="Arial"/>
          <w:color w:val="333333"/>
          <w:sz w:val="16"/>
          <w:szCs w:val="16"/>
        </w:rPr>
      </w:pPr>
      <w:r w:rsidRPr="00FC0757">
        <w:rPr>
          <w:rFonts w:ascii="Arial" w:hAnsi="Arial" w:cs="Arial"/>
          <w:color w:val="333333"/>
          <w:sz w:val="16"/>
          <w:szCs w:val="16"/>
        </w:rPr>
        <w:t>(b)</w:t>
      </w:r>
      <w:r w:rsidRPr="00FC0757">
        <w:rPr>
          <w:rFonts w:ascii="Arial" w:hAnsi="Arial" w:cs="Arial"/>
          <w:color w:val="333333"/>
          <w:sz w:val="16"/>
          <w:szCs w:val="16"/>
        </w:rPr>
        <w:t> </w:t>
      </w:r>
      <w:r w:rsidRPr="00FC0757">
        <w:rPr>
          <w:rFonts w:ascii="Arial" w:hAnsi="Arial" w:cs="Arial"/>
          <w:color w:val="333333"/>
          <w:sz w:val="16"/>
          <w:szCs w:val="16"/>
        </w:rPr>
        <w:t>dedicating a revenue source or portion of a revenue source diverts funds that could be considered a general revenue source.</w:t>
      </w:r>
    </w:p>
    <w:p w14:paraId="2C00DC2B" w14:textId="77777777" w:rsidR="00FC0757" w:rsidRPr="00FC0757" w:rsidRDefault="00FC0757" w:rsidP="00FC0757">
      <w:pPr>
        <w:pStyle w:val="line-indent"/>
        <w:shd w:val="clear" w:color="auto" w:fill="FFFFFF"/>
        <w:spacing w:before="0" w:beforeAutospacing="0" w:after="0" w:afterAutospacing="0"/>
        <w:ind w:firstLine="312"/>
        <w:jc w:val="both"/>
        <w:rPr>
          <w:rFonts w:ascii="Arial" w:hAnsi="Arial" w:cs="Arial"/>
          <w:color w:val="333333"/>
          <w:sz w:val="16"/>
          <w:szCs w:val="16"/>
        </w:rPr>
      </w:pPr>
      <w:r w:rsidRPr="00FC0757">
        <w:rPr>
          <w:rFonts w:ascii="Arial" w:hAnsi="Arial" w:cs="Arial"/>
          <w:color w:val="333333"/>
          <w:sz w:val="16"/>
          <w:szCs w:val="16"/>
        </w:rPr>
        <w:t>(3)</w:t>
      </w:r>
      <w:r w:rsidRPr="00FC0757">
        <w:rPr>
          <w:rFonts w:ascii="Arial" w:hAnsi="Arial" w:cs="Arial"/>
          <w:color w:val="333333"/>
          <w:sz w:val="16"/>
          <w:szCs w:val="16"/>
        </w:rPr>
        <w:t> </w:t>
      </w:r>
      <w:r w:rsidRPr="00FC0757">
        <w:rPr>
          <w:rFonts w:ascii="Arial" w:hAnsi="Arial" w:cs="Arial"/>
          <w:color w:val="333333"/>
          <w:sz w:val="16"/>
          <w:szCs w:val="16"/>
        </w:rPr>
        <w:t>In the consideration of the general appropriations act for each biennium, the legislature shall determine the appropriateness of dedicating revenue to a program or activity under conditions described in subsection (2). The office of budget and program planning shall describe the occurrence in its presentation of the executive budget, and the legislative fiscal analyst shall highlight the issue in the budget analysis and for the appropriations subcommittee considering the revenue dedication.</w:t>
      </w:r>
    </w:p>
    <w:p w14:paraId="6FA6AC84" w14:textId="77777777" w:rsidR="00AD7267" w:rsidRDefault="00AD7267" w:rsidP="00990CDB">
      <w:pPr>
        <w:jc w:val="both"/>
        <w:rPr>
          <w:sz w:val="24"/>
        </w:rPr>
      </w:pPr>
    </w:p>
    <w:sectPr w:rsidR="00AD7267" w:rsidSect="00C42BD5">
      <w:footerReference w:type="default" r:id="rId8"/>
      <w:pgSz w:w="12240" w:h="15840"/>
      <w:pgMar w:top="1152"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DC25" w14:textId="77777777" w:rsidR="00FC0757" w:rsidRDefault="00FC0757">
      <w:r>
        <w:separator/>
      </w:r>
    </w:p>
  </w:endnote>
  <w:endnote w:type="continuationSeparator" w:id="0">
    <w:p w14:paraId="64618E93" w14:textId="77777777" w:rsidR="00FC0757" w:rsidRDefault="00FC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AB2A" w14:textId="77777777" w:rsidR="00C42BD5" w:rsidRDefault="000F41E9" w:rsidP="00C42BD5">
    <w:pPr>
      <w:pStyle w:val="Footer"/>
      <w:tabs>
        <w:tab w:val="clear" w:pos="4320"/>
        <w:tab w:val="clear" w:pos="8640"/>
        <w:tab w:val="right" w:pos="9180"/>
      </w:tabs>
      <w:rPr>
        <w:sz w:val="16"/>
        <w:szCs w:val="16"/>
      </w:rPr>
    </w:pPr>
    <w:r>
      <w:rPr>
        <w:sz w:val="16"/>
        <w:szCs w:val="16"/>
      </w:rPr>
      <w:t>D</w:t>
    </w:r>
    <w:r w:rsidR="00B32699">
      <w:rPr>
        <w:sz w:val="16"/>
        <w:szCs w:val="16"/>
      </w:rPr>
      <w:t>edicated Revenue</w:t>
    </w:r>
    <w:r w:rsidR="00C42BD5">
      <w:rPr>
        <w:sz w:val="16"/>
        <w:szCs w:val="16"/>
      </w:rPr>
      <w:tab/>
    </w:r>
    <w:r w:rsidR="00C42BD5" w:rsidRPr="00C42BD5">
      <w:rPr>
        <w:sz w:val="16"/>
        <w:szCs w:val="16"/>
      </w:rPr>
      <w:t xml:space="preserve">Page </w:t>
    </w:r>
    <w:r w:rsidR="00C854FD" w:rsidRPr="00C42BD5">
      <w:rPr>
        <w:sz w:val="16"/>
        <w:szCs w:val="16"/>
      </w:rPr>
      <w:fldChar w:fldCharType="begin"/>
    </w:r>
    <w:r w:rsidR="00C42BD5" w:rsidRPr="00C42BD5">
      <w:rPr>
        <w:sz w:val="16"/>
        <w:szCs w:val="16"/>
      </w:rPr>
      <w:instrText xml:space="preserve"> PAGE </w:instrText>
    </w:r>
    <w:r w:rsidR="00C854FD" w:rsidRPr="00C42BD5">
      <w:rPr>
        <w:sz w:val="16"/>
        <w:szCs w:val="16"/>
      </w:rPr>
      <w:fldChar w:fldCharType="separate"/>
    </w:r>
    <w:r w:rsidR="00DE2893">
      <w:rPr>
        <w:noProof/>
        <w:sz w:val="16"/>
        <w:szCs w:val="16"/>
      </w:rPr>
      <w:t>1</w:t>
    </w:r>
    <w:r w:rsidR="00C854FD" w:rsidRPr="00C42BD5">
      <w:rPr>
        <w:sz w:val="16"/>
        <w:szCs w:val="16"/>
      </w:rPr>
      <w:fldChar w:fldCharType="end"/>
    </w:r>
    <w:r w:rsidR="00C42BD5" w:rsidRPr="00C42BD5">
      <w:rPr>
        <w:sz w:val="16"/>
        <w:szCs w:val="16"/>
      </w:rPr>
      <w:t xml:space="preserve"> of </w:t>
    </w:r>
    <w:r w:rsidR="00C854FD" w:rsidRPr="00C42BD5">
      <w:rPr>
        <w:sz w:val="16"/>
        <w:szCs w:val="16"/>
      </w:rPr>
      <w:fldChar w:fldCharType="begin"/>
    </w:r>
    <w:r w:rsidR="00C42BD5" w:rsidRPr="00C42BD5">
      <w:rPr>
        <w:sz w:val="16"/>
        <w:szCs w:val="16"/>
      </w:rPr>
      <w:instrText xml:space="preserve"> NUMPAGES </w:instrText>
    </w:r>
    <w:r w:rsidR="00C854FD" w:rsidRPr="00C42BD5">
      <w:rPr>
        <w:sz w:val="16"/>
        <w:szCs w:val="16"/>
      </w:rPr>
      <w:fldChar w:fldCharType="separate"/>
    </w:r>
    <w:r w:rsidR="00DE2893">
      <w:rPr>
        <w:noProof/>
        <w:sz w:val="16"/>
        <w:szCs w:val="16"/>
      </w:rPr>
      <w:t>1</w:t>
    </w:r>
    <w:r w:rsidR="00C854FD" w:rsidRPr="00C42BD5">
      <w:rPr>
        <w:sz w:val="16"/>
        <w:szCs w:val="16"/>
      </w:rPr>
      <w:fldChar w:fldCharType="end"/>
    </w:r>
  </w:p>
  <w:p w14:paraId="6E306A62" w14:textId="77777777" w:rsidR="00C42BD5" w:rsidRPr="00C42BD5" w:rsidRDefault="00C854FD" w:rsidP="00C42BD5">
    <w:pPr>
      <w:pStyle w:val="Footer"/>
      <w:tabs>
        <w:tab w:val="clear" w:pos="4320"/>
        <w:tab w:val="clear" w:pos="8640"/>
        <w:tab w:val="right" w:pos="9180"/>
      </w:tabs>
      <w:rPr>
        <w:sz w:val="16"/>
        <w:szCs w:val="16"/>
      </w:rPr>
    </w:pPr>
    <w:r>
      <w:rPr>
        <w:sz w:val="16"/>
        <w:szCs w:val="16"/>
      </w:rPr>
      <w:fldChar w:fldCharType="begin"/>
    </w:r>
    <w:r w:rsidR="00C42BD5">
      <w:rPr>
        <w:sz w:val="16"/>
        <w:szCs w:val="16"/>
      </w:rPr>
      <w:instrText xml:space="preserve"> DATE \@ "M/d/yyyy" </w:instrText>
    </w:r>
    <w:r>
      <w:rPr>
        <w:sz w:val="16"/>
        <w:szCs w:val="16"/>
      </w:rPr>
      <w:fldChar w:fldCharType="separate"/>
    </w:r>
    <w:r w:rsidR="00FC0757">
      <w:rPr>
        <w:noProof/>
        <w:sz w:val="16"/>
        <w:szCs w:val="16"/>
      </w:rPr>
      <w:t>12/2/2022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B769" w14:textId="77777777" w:rsidR="00FC0757" w:rsidRDefault="00FC0757">
      <w:r>
        <w:separator/>
      </w:r>
    </w:p>
  </w:footnote>
  <w:footnote w:type="continuationSeparator" w:id="0">
    <w:p w14:paraId="2AEBE6F6" w14:textId="77777777" w:rsidR="00FC0757" w:rsidRDefault="00FC0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D8F"/>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27604F20"/>
    <w:multiLevelType w:val="singleLevel"/>
    <w:tmpl w:val="04090017"/>
    <w:lvl w:ilvl="0">
      <w:start w:val="1"/>
      <w:numFmt w:val="lowerLetter"/>
      <w:lvlText w:val="%1)"/>
      <w:lvlJc w:val="left"/>
      <w:pPr>
        <w:tabs>
          <w:tab w:val="num" w:pos="360"/>
        </w:tabs>
        <w:ind w:left="360" w:hanging="360"/>
      </w:pPr>
      <w:rPr>
        <w:rFonts w:hint="default"/>
      </w:rPr>
    </w:lvl>
  </w:abstractNum>
  <w:num w:numId="1" w16cid:durableId="335957921">
    <w:abstractNumId w:val="0"/>
  </w:num>
  <w:num w:numId="2" w16cid:durableId="1042284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57"/>
    <w:rsid w:val="00020AD2"/>
    <w:rsid w:val="000F41E9"/>
    <w:rsid w:val="0018272E"/>
    <w:rsid w:val="00270643"/>
    <w:rsid w:val="002E4C9D"/>
    <w:rsid w:val="00687BFE"/>
    <w:rsid w:val="006A1D41"/>
    <w:rsid w:val="006B1A7D"/>
    <w:rsid w:val="006E5268"/>
    <w:rsid w:val="00807C9D"/>
    <w:rsid w:val="0086148F"/>
    <w:rsid w:val="0086400B"/>
    <w:rsid w:val="0089079C"/>
    <w:rsid w:val="008A74B3"/>
    <w:rsid w:val="00923EA3"/>
    <w:rsid w:val="00970EE4"/>
    <w:rsid w:val="00990CDB"/>
    <w:rsid w:val="00992EC6"/>
    <w:rsid w:val="00AD7267"/>
    <w:rsid w:val="00B2273B"/>
    <w:rsid w:val="00B32699"/>
    <w:rsid w:val="00C42BD5"/>
    <w:rsid w:val="00C44528"/>
    <w:rsid w:val="00C854FD"/>
    <w:rsid w:val="00CD18B7"/>
    <w:rsid w:val="00CF45A0"/>
    <w:rsid w:val="00D97777"/>
    <w:rsid w:val="00DD7DB9"/>
    <w:rsid w:val="00DE2893"/>
    <w:rsid w:val="00E51B46"/>
    <w:rsid w:val="00FA5D47"/>
    <w:rsid w:val="00FC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EE5F7"/>
  <w15:docId w15:val="{58C87483-02A3-4D3B-8210-988EDD67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2BD5"/>
    <w:pPr>
      <w:jc w:val="center"/>
    </w:pPr>
    <w:rPr>
      <w:b/>
      <w:sz w:val="28"/>
    </w:rPr>
  </w:style>
  <w:style w:type="table" w:styleId="TableGrid">
    <w:name w:val="Table Grid"/>
    <w:basedOn w:val="TableNormal"/>
    <w:rsid w:val="00C4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42BD5"/>
    <w:pPr>
      <w:tabs>
        <w:tab w:val="center" w:pos="4320"/>
        <w:tab w:val="right" w:pos="8640"/>
      </w:tabs>
    </w:pPr>
  </w:style>
  <w:style w:type="paragraph" w:styleId="Footer">
    <w:name w:val="footer"/>
    <w:basedOn w:val="Normal"/>
    <w:rsid w:val="00C42BD5"/>
    <w:pPr>
      <w:tabs>
        <w:tab w:val="center" w:pos="4320"/>
        <w:tab w:val="right" w:pos="8640"/>
      </w:tabs>
    </w:pPr>
  </w:style>
  <w:style w:type="paragraph" w:styleId="BalloonText">
    <w:name w:val="Balloon Text"/>
    <w:basedOn w:val="Normal"/>
    <w:link w:val="BalloonTextChar"/>
    <w:rsid w:val="008A74B3"/>
    <w:rPr>
      <w:rFonts w:ascii="Tahoma" w:hAnsi="Tahoma" w:cs="Tahoma"/>
      <w:sz w:val="16"/>
      <w:szCs w:val="16"/>
    </w:rPr>
  </w:style>
  <w:style w:type="character" w:customStyle="1" w:styleId="BalloonTextChar">
    <w:name w:val="Balloon Text Char"/>
    <w:basedOn w:val="DefaultParagraphFont"/>
    <w:link w:val="BalloonText"/>
    <w:rsid w:val="008A74B3"/>
    <w:rPr>
      <w:rFonts w:ascii="Tahoma" w:hAnsi="Tahoma" w:cs="Tahoma"/>
      <w:sz w:val="16"/>
      <w:szCs w:val="16"/>
    </w:rPr>
  </w:style>
  <w:style w:type="paragraph" w:customStyle="1" w:styleId="line-indent">
    <w:name w:val="line-indent"/>
    <w:basedOn w:val="Normal"/>
    <w:rsid w:val="00FC0757"/>
    <w:pPr>
      <w:spacing w:before="100" w:beforeAutospacing="1" w:after="100" w:afterAutospacing="1"/>
    </w:pPr>
    <w:rPr>
      <w:sz w:val="24"/>
      <w:szCs w:val="24"/>
    </w:rPr>
  </w:style>
  <w:style w:type="character" w:customStyle="1" w:styleId="catchline">
    <w:name w:val="catchline"/>
    <w:basedOn w:val="DefaultParagraphFont"/>
    <w:rsid w:val="00FC0757"/>
  </w:style>
  <w:style w:type="character" w:customStyle="1" w:styleId="citation">
    <w:name w:val="citation"/>
    <w:basedOn w:val="DefaultParagraphFont"/>
    <w:rsid w:val="00FC0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03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SSION\Template\Dedicated%20Revenue%20Template%20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Dedicated Revenue Template 2023</Template>
  <TotalTime>4</TotalTime>
  <Pages>2</Pages>
  <Words>477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DEDICATION OF REVENUE:</vt:lpstr>
    </vt:vector>
  </TitlesOfParts>
  <Company>Governor's Office</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DEDICATION OF REVENUE:</dc:title>
  <dc:creator>Hall, Nancy</dc:creator>
  <cp:lastModifiedBy>Hall, Nancy</cp:lastModifiedBy>
  <cp:revision>1</cp:revision>
  <cp:lastPrinted>2014-11-13T20:35:00Z</cp:lastPrinted>
  <dcterms:created xsi:type="dcterms:W3CDTF">2022-12-02T22:57:00Z</dcterms:created>
  <dcterms:modified xsi:type="dcterms:W3CDTF">2022-12-02T23:01:00Z</dcterms:modified>
</cp:coreProperties>
</file>