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3" w:type="dxa"/>
        <w:tblBorders>
          <w:top w:val="thinThickMediumGap" w:sz="24" w:space="0" w:color="auto"/>
          <w:left w:val="thinThickMediumGap" w:sz="24" w:space="0" w:color="auto"/>
          <w:bottom w:val="thickThinMediumGap" w:sz="24" w:space="0" w:color="auto"/>
          <w:right w:val="thickThinMediumGap" w:sz="24" w:space="0" w:color="auto"/>
        </w:tblBorders>
        <w:tblLook w:val="00A0" w:firstRow="1" w:lastRow="0" w:firstColumn="1" w:lastColumn="0" w:noHBand="0" w:noVBand="0"/>
      </w:tblPr>
      <w:tblGrid>
        <w:gridCol w:w="2445"/>
        <w:gridCol w:w="6682"/>
      </w:tblGrid>
      <w:tr w:rsidR="003C6D79" w:rsidRPr="00E51B46" w14:paraId="4BE051F2" w14:textId="77777777" w:rsidTr="003151D2">
        <w:tc>
          <w:tcPr>
            <w:tcW w:w="2515" w:type="dxa"/>
          </w:tcPr>
          <w:p w14:paraId="35B914EE" w14:textId="77777777" w:rsidR="003C6D79" w:rsidRPr="00E51B46" w:rsidRDefault="00F46C13" w:rsidP="003151D2">
            <w:pPr>
              <w:pStyle w:val="Title"/>
              <w:tabs>
                <w:tab w:val="left" w:pos="1440"/>
                <w:tab w:val="left" w:pos="2820"/>
              </w:tabs>
              <w:jc w:val="left"/>
              <w:rPr>
                <w:rFonts w:ascii="Tahoma" w:hAnsi="Tahoma"/>
                <w:sz w:val="32"/>
                <w:szCs w:val="32"/>
              </w:rPr>
            </w:pPr>
            <w:r>
              <w:rPr>
                <w:rFonts w:ascii="Tahoma" w:hAnsi="Tahoma"/>
                <w:noProof/>
                <w:sz w:val="32"/>
                <w:szCs w:val="32"/>
              </w:rPr>
              <w:drawing>
                <wp:inline distT="0" distB="0" distL="0" distR="0" wp14:anchorId="58060B29" wp14:editId="7AE6FA95">
                  <wp:extent cx="1285875" cy="1028700"/>
                  <wp:effectExtent l="0" t="0" r="9525" b="0"/>
                  <wp:docPr id="1" name="Picture 1" descr="GOBPP logo 3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PP logo 3 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5875" cy="1028700"/>
                          </a:xfrm>
                          <a:prstGeom prst="rect">
                            <a:avLst/>
                          </a:prstGeom>
                          <a:noFill/>
                          <a:ln>
                            <a:noFill/>
                          </a:ln>
                        </pic:spPr>
                      </pic:pic>
                    </a:graphicData>
                  </a:graphic>
                </wp:inline>
              </w:drawing>
            </w:r>
          </w:p>
        </w:tc>
        <w:tc>
          <w:tcPr>
            <w:tcW w:w="8342" w:type="dxa"/>
          </w:tcPr>
          <w:p w14:paraId="1864B81E" w14:textId="77777777" w:rsidR="003C6D79" w:rsidRPr="00E51B46" w:rsidRDefault="003C6D79" w:rsidP="003151D2">
            <w:pPr>
              <w:pStyle w:val="Title"/>
              <w:tabs>
                <w:tab w:val="left" w:pos="1440"/>
              </w:tabs>
              <w:rPr>
                <w:rFonts w:ascii="Tahoma" w:hAnsi="Tahoma"/>
                <w:sz w:val="32"/>
                <w:szCs w:val="32"/>
              </w:rPr>
            </w:pPr>
          </w:p>
          <w:p w14:paraId="6AF81F94" w14:textId="3AC7565F" w:rsidR="003C6D79" w:rsidRPr="00E51B46" w:rsidRDefault="003C6D79" w:rsidP="00641B27">
            <w:pPr>
              <w:pStyle w:val="Title"/>
              <w:tabs>
                <w:tab w:val="left" w:pos="1440"/>
              </w:tabs>
              <w:rPr>
                <w:sz w:val="32"/>
                <w:szCs w:val="32"/>
              </w:rPr>
            </w:pPr>
            <w:r>
              <w:rPr>
                <w:sz w:val="32"/>
                <w:szCs w:val="32"/>
                <w:u w:val="single"/>
              </w:rPr>
              <w:t>Statutory Appropriation</w:t>
            </w:r>
            <w:r w:rsidRPr="00E51B46">
              <w:rPr>
                <w:sz w:val="32"/>
                <w:szCs w:val="32"/>
                <w:u w:val="single"/>
              </w:rPr>
              <w:t xml:space="preserve"> 20</w:t>
            </w:r>
            <w:r w:rsidR="00641B27">
              <w:rPr>
                <w:sz w:val="32"/>
                <w:szCs w:val="32"/>
                <w:u w:val="single"/>
              </w:rPr>
              <w:t>2</w:t>
            </w:r>
            <w:r w:rsidR="00D31D3F">
              <w:rPr>
                <w:sz w:val="32"/>
                <w:szCs w:val="32"/>
                <w:u w:val="single"/>
              </w:rPr>
              <w:t>5</w:t>
            </w:r>
            <w:r w:rsidRPr="00E51B46">
              <w:rPr>
                <w:sz w:val="32"/>
                <w:szCs w:val="32"/>
                <w:u w:val="single"/>
              </w:rPr>
              <w:t xml:space="preserve"> Biennium</w:t>
            </w:r>
          </w:p>
        </w:tc>
      </w:tr>
    </w:tbl>
    <w:p w14:paraId="77B4A161" w14:textId="77777777" w:rsidR="003C6D79" w:rsidRDefault="003C6D79" w:rsidP="003C6D79">
      <w:pPr>
        <w:rPr>
          <w:b/>
        </w:rPr>
      </w:pPr>
      <w:r>
        <w:rPr>
          <w:b/>
        </w:rPr>
        <w:t>17-1-508(2), MCA.</w:t>
      </w:r>
    </w:p>
    <w:p w14:paraId="679FF8BA" w14:textId="77777777" w:rsidR="003C6D79" w:rsidRPr="00C42BD5" w:rsidRDefault="003C6D79" w:rsidP="003C6D79">
      <w:pPr>
        <w:rPr>
          <w:b/>
        </w:rPr>
      </w:pPr>
    </w:p>
    <w:p w14:paraId="44DF78CD" w14:textId="77777777" w:rsidR="00D31D3F" w:rsidRDefault="0014121F" w:rsidP="000E52A0">
      <w:pPr>
        <w:jc w:val="both"/>
      </w:pPr>
      <w:r>
        <w:t>Answer yes or no to each of the fo</w:t>
      </w:r>
      <w:r w:rsidR="003C6D79">
        <w:t>llowing subsections of 17-1-508</w:t>
      </w:r>
      <w:r>
        <w:t xml:space="preserve">(2) regarding statutory appropriation analysis in proposed legislation when preparing a fiscal note.  </w:t>
      </w:r>
    </w:p>
    <w:p w14:paraId="7F15E663" w14:textId="2641C997" w:rsidR="005F5421" w:rsidRDefault="0014121F" w:rsidP="000E52A0">
      <w:pPr>
        <w:jc w:val="both"/>
      </w:pPr>
      <w:r w:rsidRPr="00D31D3F">
        <w:rPr>
          <w:b/>
          <w:highlight w:val="yellow"/>
        </w:rPr>
        <w:t>Copy the table below into the fiscal note as the final assumption in the fiscal note.</w:t>
      </w:r>
    </w:p>
    <w:p w14:paraId="0634569C" w14:textId="77777777" w:rsidR="0014121F" w:rsidRDefault="0014121F" w:rsidP="000E52A0">
      <w:pPr>
        <w:jc w:val="both"/>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6930"/>
        <w:gridCol w:w="990"/>
        <w:gridCol w:w="990"/>
      </w:tblGrid>
      <w:tr w:rsidR="0014121F" w14:paraId="7E3CD32A" w14:textId="77777777" w:rsidTr="003C6D79">
        <w:trPr>
          <w:trHeight w:val="1350"/>
        </w:trPr>
        <w:tc>
          <w:tcPr>
            <w:tcW w:w="9450" w:type="dxa"/>
            <w:gridSpan w:val="4"/>
            <w:tcBorders>
              <w:top w:val="nil"/>
              <w:left w:val="nil"/>
              <w:bottom w:val="nil"/>
              <w:right w:val="nil"/>
            </w:tcBorders>
            <w:shd w:val="clear" w:color="auto" w:fill="auto"/>
            <w:vAlign w:val="center"/>
          </w:tcPr>
          <w:p w14:paraId="20EB4EDA" w14:textId="77777777" w:rsidR="0014121F" w:rsidRDefault="0014121F" w:rsidP="0056648C">
            <w:pPr>
              <w:ind w:left="432" w:hanging="432"/>
              <w:jc w:val="both"/>
            </w:pPr>
            <w:r>
              <w:t>1.</w:t>
            </w:r>
            <w:r>
              <w:rPr>
                <w:sz w:val="14"/>
                <w:szCs w:val="14"/>
              </w:rPr>
              <w:tab/>
            </w:r>
            <w:r>
              <w:t>17-1-508, MCA</w:t>
            </w:r>
            <w:r w:rsidR="00F46C13">
              <w:t>,</w:t>
            </w:r>
            <w:r>
              <w:t xml:space="preserve"> requires analysis of the statutory appropriation relat</w:t>
            </w:r>
            <w:r w:rsidR="003C6D79">
              <w:t>ive to the guidance in 17-1-508</w:t>
            </w:r>
            <w:r>
              <w:t>(</w:t>
            </w:r>
            <w:r w:rsidR="0056648C">
              <w:t>3</w:t>
            </w:r>
            <w:r>
              <w:t>), MCA, to be published in the fiscal note.  In reviewing and establishing statutory appropriations, the legislature shall consider the following guidelines.  Answer yes or no to each of the following guidelines regarding the statutory appropriation:</w:t>
            </w:r>
          </w:p>
        </w:tc>
      </w:tr>
      <w:tr w:rsidR="0014121F" w:rsidRPr="00405FC5" w14:paraId="554CA141" w14:textId="77777777" w:rsidTr="003C6D79">
        <w:trPr>
          <w:trHeight w:val="315"/>
        </w:trPr>
        <w:tc>
          <w:tcPr>
            <w:tcW w:w="540" w:type="dxa"/>
            <w:tcBorders>
              <w:top w:val="nil"/>
              <w:left w:val="nil"/>
              <w:bottom w:val="nil"/>
              <w:right w:val="nil"/>
            </w:tcBorders>
            <w:shd w:val="clear" w:color="auto" w:fill="auto"/>
            <w:noWrap/>
            <w:vAlign w:val="center"/>
          </w:tcPr>
          <w:p w14:paraId="7E7DE784" w14:textId="77777777" w:rsidR="0014121F" w:rsidRPr="00405FC5" w:rsidRDefault="0014121F" w:rsidP="000E52A0">
            <w:pPr>
              <w:jc w:val="both"/>
              <w:rPr>
                <w:b/>
                <w:sz w:val="20"/>
                <w:szCs w:val="20"/>
                <w:u w:val="single"/>
              </w:rPr>
            </w:pPr>
          </w:p>
        </w:tc>
        <w:tc>
          <w:tcPr>
            <w:tcW w:w="6930" w:type="dxa"/>
            <w:tcBorders>
              <w:top w:val="nil"/>
              <w:left w:val="nil"/>
              <w:bottom w:val="single" w:sz="4" w:space="0" w:color="auto"/>
              <w:right w:val="nil"/>
            </w:tcBorders>
            <w:shd w:val="clear" w:color="auto" w:fill="auto"/>
            <w:vAlign w:val="center"/>
          </w:tcPr>
          <w:p w14:paraId="3F27BD7F" w14:textId="77777777" w:rsidR="0014121F" w:rsidRPr="00405FC5" w:rsidRDefault="0014121F" w:rsidP="000E52A0">
            <w:pPr>
              <w:tabs>
                <w:tab w:val="left" w:pos="376"/>
              </w:tabs>
              <w:ind w:left="376" w:hanging="360"/>
              <w:jc w:val="both"/>
              <w:rPr>
                <w:b/>
                <w:sz w:val="20"/>
                <w:szCs w:val="20"/>
                <w:u w:val="single"/>
              </w:rPr>
            </w:pPr>
          </w:p>
        </w:tc>
        <w:tc>
          <w:tcPr>
            <w:tcW w:w="990" w:type="dxa"/>
            <w:tcBorders>
              <w:top w:val="nil"/>
              <w:left w:val="nil"/>
              <w:bottom w:val="single" w:sz="4" w:space="0" w:color="auto"/>
              <w:right w:val="nil"/>
            </w:tcBorders>
            <w:shd w:val="clear" w:color="auto" w:fill="auto"/>
            <w:noWrap/>
            <w:vAlign w:val="center"/>
          </w:tcPr>
          <w:p w14:paraId="729D856E" w14:textId="77777777" w:rsidR="0014121F" w:rsidRPr="00405FC5" w:rsidRDefault="0014121F" w:rsidP="00717B2F">
            <w:pPr>
              <w:jc w:val="center"/>
              <w:rPr>
                <w:b/>
                <w:sz w:val="20"/>
                <w:szCs w:val="20"/>
                <w:u w:val="single"/>
              </w:rPr>
            </w:pPr>
            <w:r w:rsidRPr="00405FC5">
              <w:rPr>
                <w:b/>
                <w:sz w:val="20"/>
                <w:szCs w:val="20"/>
                <w:u w:val="single"/>
              </w:rPr>
              <w:t>YES</w:t>
            </w:r>
          </w:p>
        </w:tc>
        <w:tc>
          <w:tcPr>
            <w:tcW w:w="990" w:type="dxa"/>
            <w:tcBorders>
              <w:top w:val="nil"/>
              <w:left w:val="nil"/>
              <w:bottom w:val="single" w:sz="4" w:space="0" w:color="auto"/>
              <w:right w:val="nil"/>
            </w:tcBorders>
            <w:shd w:val="clear" w:color="auto" w:fill="auto"/>
            <w:vAlign w:val="center"/>
          </w:tcPr>
          <w:p w14:paraId="2014B411" w14:textId="77777777" w:rsidR="0014121F" w:rsidRPr="00405FC5" w:rsidRDefault="0014121F" w:rsidP="00717B2F">
            <w:pPr>
              <w:jc w:val="center"/>
              <w:rPr>
                <w:b/>
                <w:sz w:val="20"/>
                <w:szCs w:val="20"/>
                <w:u w:val="single"/>
              </w:rPr>
            </w:pPr>
            <w:r w:rsidRPr="00405FC5">
              <w:rPr>
                <w:b/>
                <w:sz w:val="20"/>
                <w:szCs w:val="20"/>
                <w:u w:val="single"/>
              </w:rPr>
              <w:t>NO</w:t>
            </w:r>
          </w:p>
        </w:tc>
      </w:tr>
      <w:tr w:rsidR="0014121F" w14:paraId="2181075E" w14:textId="77777777" w:rsidTr="003C6D79">
        <w:trPr>
          <w:trHeight w:val="315"/>
        </w:trPr>
        <w:tc>
          <w:tcPr>
            <w:tcW w:w="540" w:type="dxa"/>
            <w:tcBorders>
              <w:top w:val="nil"/>
              <w:left w:val="nil"/>
              <w:bottom w:val="nil"/>
              <w:right w:val="single" w:sz="4" w:space="0" w:color="auto"/>
            </w:tcBorders>
            <w:shd w:val="clear" w:color="auto" w:fill="auto"/>
            <w:noWrap/>
            <w:vAlign w:val="center"/>
          </w:tcPr>
          <w:p w14:paraId="77D3137A" w14:textId="77777777" w:rsidR="0014121F" w:rsidRDefault="0014121F" w:rsidP="000E52A0">
            <w:pPr>
              <w:jc w:val="both"/>
              <w:rPr>
                <w:rFonts w:ascii="Arial" w:hAnsi="Arial" w:cs="Arial"/>
                <w:sz w:val="16"/>
                <w:szCs w:val="16"/>
              </w:rPr>
            </w:pPr>
          </w:p>
        </w:tc>
        <w:tc>
          <w:tcPr>
            <w:tcW w:w="6930" w:type="dxa"/>
            <w:tcBorders>
              <w:left w:val="single" w:sz="4" w:space="0" w:color="auto"/>
            </w:tcBorders>
            <w:shd w:val="clear" w:color="auto" w:fill="auto"/>
            <w:vAlign w:val="center"/>
          </w:tcPr>
          <w:p w14:paraId="779F197E" w14:textId="77777777" w:rsidR="0014121F" w:rsidRDefault="0056648C" w:rsidP="0056648C">
            <w:pPr>
              <w:tabs>
                <w:tab w:val="left" w:pos="376"/>
              </w:tabs>
              <w:ind w:left="376" w:hanging="360"/>
              <w:jc w:val="both"/>
            </w:pPr>
            <w:r>
              <w:t>a</w:t>
            </w:r>
            <w:r w:rsidR="0014121F">
              <w:t>.</w:t>
            </w:r>
            <w:r w:rsidR="0014121F">
              <w:tab/>
              <w:t>The money is from a continuing, reliable, and estimable source.</w:t>
            </w:r>
          </w:p>
        </w:tc>
        <w:tc>
          <w:tcPr>
            <w:tcW w:w="990" w:type="dxa"/>
            <w:shd w:val="clear" w:color="auto" w:fill="auto"/>
            <w:vAlign w:val="center"/>
          </w:tcPr>
          <w:p w14:paraId="2DA1DF73" w14:textId="77777777" w:rsidR="0014121F" w:rsidRDefault="0014121F" w:rsidP="003C6D79">
            <w:pPr>
              <w:jc w:val="center"/>
            </w:pPr>
          </w:p>
        </w:tc>
        <w:tc>
          <w:tcPr>
            <w:tcW w:w="990" w:type="dxa"/>
            <w:shd w:val="clear" w:color="auto" w:fill="auto"/>
            <w:vAlign w:val="center"/>
          </w:tcPr>
          <w:p w14:paraId="36060F2D" w14:textId="77777777" w:rsidR="0014121F" w:rsidRDefault="0014121F" w:rsidP="003C6D79">
            <w:pPr>
              <w:jc w:val="center"/>
            </w:pPr>
          </w:p>
        </w:tc>
      </w:tr>
      <w:tr w:rsidR="0014121F" w14:paraId="60D80FFE" w14:textId="77777777" w:rsidTr="003C6D79">
        <w:trPr>
          <w:trHeight w:val="630"/>
        </w:trPr>
        <w:tc>
          <w:tcPr>
            <w:tcW w:w="540" w:type="dxa"/>
            <w:tcBorders>
              <w:top w:val="nil"/>
              <w:left w:val="nil"/>
              <w:bottom w:val="nil"/>
              <w:right w:val="single" w:sz="4" w:space="0" w:color="auto"/>
            </w:tcBorders>
            <w:shd w:val="clear" w:color="auto" w:fill="auto"/>
            <w:noWrap/>
            <w:vAlign w:val="center"/>
          </w:tcPr>
          <w:p w14:paraId="6E0468B4" w14:textId="77777777" w:rsidR="0014121F" w:rsidRDefault="0014121F" w:rsidP="000E52A0">
            <w:pPr>
              <w:jc w:val="both"/>
              <w:rPr>
                <w:rFonts w:ascii="Arial" w:hAnsi="Arial" w:cs="Arial"/>
                <w:sz w:val="16"/>
                <w:szCs w:val="16"/>
              </w:rPr>
            </w:pPr>
          </w:p>
        </w:tc>
        <w:tc>
          <w:tcPr>
            <w:tcW w:w="6930" w:type="dxa"/>
            <w:tcBorders>
              <w:left w:val="single" w:sz="4" w:space="0" w:color="auto"/>
            </w:tcBorders>
            <w:shd w:val="clear" w:color="auto" w:fill="auto"/>
            <w:vAlign w:val="center"/>
          </w:tcPr>
          <w:p w14:paraId="3A31AD23" w14:textId="77777777" w:rsidR="0014121F" w:rsidRDefault="0056648C" w:rsidP="0056648C">
            <w:pPr>
              <w:tabs>
                <w:tab w:val="left" w:pos="376"/>
              </w:tabs>
              <w:ind w:left="376" w:hanging="360"/>
              <w:jc w:val="both"/>
            </w:pPr>
            <w:r>
              <w:t>b</w:t>
            </w:r>
            <w:r w:rsidR="0014121F">
              <w:t>.</w:t>
            </w:r>
            <w:r w:rsidR="0014121F">
              <w:tab/>
              <w:t>The use of the appropriation or the expenditure occurrence is predictable and reliable.</w:t>
            </w:r>
          </w:p>
        </w:tc>
        <w:tc>
          <w:tcPr>
            <w:tcW w:w="990" w:type="dxa"/>
            <w:shd w:val="clear" w:color="auto" w:fill="auto"/>
            <w:vAlign w:val="center"/>
          </w:tcPr>
          <w:p w14:paraId="1ECBF959" w14:textId="77777777" w:rsidR="0014121F" w:rsidRDefault="0014121F" w:rsidP="003C6D79">
            <w:pPr>
              <w:jc w:val="center"/>
            </w:pPr>
          </w:p>
        </w:tc>
        <w:tc>
          <w:tcPr>
            <w:tcW w:w="990" w:type="dxa"/>
            <w:shd w:val="clear" w:color="auto" w:fill="auto"/>
            <w:vAlign w:val="center"/>
          </w:tcPr>
          <w:p w14:paraId="122998D0" w14:textId="77777777" w:rsidR="0014121F" w:rsidRDefault="0014121F" w:rsidP="003C6D79">
            <w:pPr>
              <w:jc w:val="center"/>
            </w:pPr>
          </w:p>
        </w:tc>
      </w:tr>
      <w:tr w:rsidR="0014121F" w14:paraId="5394100E" w14:textId="77777777" w:rsidTr="003C6D79">
        <w:trPr>
          <w:trHeight w:val="315"/>
        </w:trPr>
        <w:tc>
          <w:tcPr>
            <w:tcW w:w="540" w:type="dxa"/>
            <w:tcBorders>
              <w:top w:val="nil"/>
              <w:left w:val="nil"/>
              <w:bottom w:val="nil"/>
              <w:right w:val="single" w:sz="4" w:space="0" w:color="auto"/>
            </w:tcBorders>
            <w:shd w:val="clear" w:color="auto" w:fill="auto"/>
            <w:noWrap/>
            <w:vAlign w:val="center"/>
          </w:tcPr>
          <w:p w14:paraId="5BEA7876" w14:textId="77777777" w:rsidR="0014121F" w:rsidRDefault="0014121F" w:rsidP="000E52A0">
            <w:pPr>
              <w:jc w:val="both"/>
              <w:rPr>
                <w:rFonts w:ascii="Arial" w:hAnsi="Arial" w:cs="Arial"/>
                <w:sz w:val="16"/>
                <w:szCs w:val="16"/>
              </w:rPr>
            </w:pPr>
          </w:p>
        </w:tc>
        <w:tc>
          <w:tcPr>
            <w:tcW w:w="6930" w:type="dxa"/>
            <w:tcBorders>
              <w:left w:val="single" w:sz="4" w:space="0" w:color="auto"/>
            </w:tcBorders>
            <w:shd w:val="clear" w:color="auto" w:fill="auto"/>
            <w:vAlign w:val="center"/>
          </w:tcPr>
          <w:p w14:paraId="4D1C2401" w14:textId="77777777" w:rsidR="0014121F" w:rsidRDefault="0056648C" w:rsidP="0056648C">
            <w:pPr>
              <w:tabs>
                <w:tab w:val="left" w:pos="376"/>
              </w:tabs>
              <w:ind w:left="376" w:hanging="360"/>
              <w:jc w:val="both"/>
            </w:pPr>
            <w:r>
              <w:t>c</w:t>
            </w:r>
            <w:r w:rsidR="0014121F">
              <w:t>.</w:t>
            </w:r>
            <w:r w:rsidR="0014121F">
              <w:tab/>
              <w:t>The authority exist</w:t>
            </w:r>
            <w:r>
              <w:t>s</w:t>
            </w:r>
            <w:r w:rsidR="0014121F">
              <w:t xml:space="preserve"> elsewhere.</w:t>
            </w:r>
          </w:p>
        </w:tc>
        <w:tc>
          <w:tcPr>
            <w:tcW w:w="990" w:type="dxa"/>
            <w:shd w:val="clear" w:color="auto" w:fill="auto"/>
            <w:vAlign w:val="center"/>
          </w:tcPr>
          <w:p w14:paraId="4B9E0BBC" w14:textId="77777777" w:rsidR="0014121F" w:rsidRDefault="0014121F" w:rsidP="003C6D79">
            <w:pPr>
              <w:jc w:val="center"/>
            </w:pPr>
          </w:p>
        </w:tc>
        <w:tc>
          <w:tcPr>
            <w:tcW w:w="990" w:type="dxa"/>
            <w:shd w:val="clear" w:color="auto" w:fill="auto"/>
            <w:vAlign w:val="center"/>
          </w:tcPr>
          <w:p w14:paraId="09350F2E" w14:textId="77777777" w:rsidR="0014121F" w:rsidRDefault="0014121F" w:rsidP="003C6D79">
            <w:pPr>
              <w:jc w:val="center"/>
            </w:pPr>
          </w:p>
        </w:tc>
      </w:tr>
      <w:tr w:rsidR="0014121F" w14:paraId="7EC5614A" w14:textId="77777777" w:rsidTr="003C6D79">
        <w:trPr>
          <w:trHeight w:val="315"/>
        </w:trPr>
        <w:tc>
          <w:tcPr>
            <w:tcW w:w="540" w:type="dxa"/>
            <w:tcBorders>
              <w:top w:val="nil"/>
              <w:left w:val="nil"/>
              <w:bottom w:val="nil"/>
              <w:right w:val="single" w:sz="4" w:space="0" w:color="auto"/>
            </w:tcBorders>
            <w:shd w:val="clear" w:color="auto" w:fill="auto"/>
            <w:noWrap/>
            <w:vAlign w:val="center"/>
          </w:tcPr>
          <w:p w14:paraId="7238D9B3" w14:textId="77777777" w:rsidR="0014121F" w:rsidRDefault="0014121F" w:rsidP="000E52A0">
            <w:pPr>
              <w:jc w:val="both"/>
              <w:rPr>
                <w:rFonts w:ascii="Arial" w:hAnsi="Arial" w:cs="Arial"/>
                <w:sz w:val="16"/>
                <w:szCs w:val="16"/>
              </w:rPr>
            </w:pPr>
          </w:p>
        </w:tc>
        <w:tc>
          <w:tcPr>
            <w:tcW w:w="6930" w:type="dxa"/>
            <w:tcBorders>
              <w:left w:val="single" w:sz="4" w:space="0" w:color="auto"/>
            </w:tcBorders>
            <w:shd w:val="clear" w:color="auto" w:fill="auto"/>
            <w:vAlign w:val="center"/>
          </w:tcPr>
          <w:p w14:paraId="0A04A875" w14:textId="77777777" w:rsidR="0014121F" w:rsidRDefault="0056648C" w:rsidP="0056648C">
            <w:pPr>
              <w:tabs>
                <w:tab w:val="left" w:pos="376"/>
              </w:tabs>
              <w:ind w:left="376" w:hanging="360"/>
              <w:jc w:val="both"/>
            </w:pPr>
            <w:r>
              <w:t>d</w:t>
            </w:r>
            <w:r w:rsidR="0014121F">
              <w:t>.</w:t>
            </w:r>
            <w:r w:rsidR="0014121F">
              <w:tab/>
              <w:t>An alternative appropriation method is available, practical, or effective.</w:t>
            </w:r>
          </w:p>
        </w:tc>
        <w:tc>
          <w:tcPr>
            <w:tcW w:w="990" w:type="dxa"/>
            <w:shd w:val="clear" w:color="auto" w:fill="auto"/>
            <w:vAlign w:val="center"/>
          </w:tcPr>
          <w:p w14:paraId="6FBF50DD" w14:textId="77777777" w:rsidR="0014121F" w:rsidRDefault="0014121F" w:rsidP="003C6D79">
            <w:pPr>
              <w:jc w:val="center"/>
            </w:pPr>
          </w:p>
        </w:tc>
        <w:tc>
          <w:tcPr>
            <w:tcW w:w="990" w:type="dxa"/>
            <w:shd w:val="clear" w:color="auto" w:fill="auto"/>
            <w:vAlign w:val="center"/>
          </w:tcPr>
          <w:p w14:paraId="198E2F9D" w14:textId="77777777" w:rsidR="0014121F" w:rsidRDefault="0014121F" w:rsidP="003C6D79">
            <w:pPr>
              <w:jc w:val="center"/>
            </w:pPr>
          </w:p>
        </w:tc>
      </w:tr>
      <w:tr w:rsidR="0014121F" w14:paraId="2F4EF4E1" w14:textId="77777777" w:rsidTr="003C6D79">
        <w:trPr>
          <w:trHeight w:val="630"/>
        </w:trPr>
        <w:tc>
          <w:tcPr>
            <w:tcW w:w="540" w:type="dxa"/>
            <w:tcBorders>
              <w:top w:val="nil"/>
              <w:left w:val="nil"/>
              <w:bottom w:val="nil"/>
              <w:right w:val="single" w:sz="4" w:space="0" w:color="auto"/>
            </w:tcBorders>
            <w:shd w:val="clear" w:color="auto" w:fill="auto"/>
            <w:noWrap/>
            <w:vAlign w:val="center"/>
          </w:tcPr>
          <w:p w14:paraId="75324A1E" w14:textId="77777777" w:rsidR="0014121F" w:rsidRDefault="0014121F" w:rsidP="000E52A0">
            <w:pPr>
              <w:jc w:val="both"/>
              <w:rPr>
                <w:rFonts w:ascii="Arial" w:hAnsi="Arial" w:cs="Arial"/>
                <w:sz w:val="16"/>
                <w:szCs w:val="16"/>
              </w:rPr>
            </w:pPr>
          </w:p>
        </w:tc>
        <w:tc>
          <w:tcPr>
            <w:tcW w:w="6930" w:type="dxa"/>
            <w:tcBorders>
              <w:left w:val="single" w:sz="4" w:space="0" w:color="auto"/>
            </w:tcBorders>
            <w:shd w:val="clear" w:color="auto" w:fill="auto"/>
            <w:vAlign w:val="center"/>
          </w:tcPr>
          <w:p w14:paraId="25525304" w14:textId="77777777" w:rsidR="0014121F" w:rsidRDefault="0056648C" w:rsidP="0056648C">
            <w:pPr>
              <w:tabs>
                <w:tab w:val="left" w:pos="376"/>
              </w:tabs>
              <w:ind w:left="376" w:hanging="360"/>
              <w:jc w:val="both"/>
            </w:pPr>
            <w:r>
              <w:t>e</w:t>
            </w:r>
            <w:r w:rsidR="0014121F">
              <w:t>.</w:t>
            </w:r>
            <w:r w:rsidR="0014121F">
              <w:tab/>
            </w:r>
            <w:r>
              <w:t>It appropriates state general fund money for purposes other than paying for emergency services</w:t>
            </w:r>
            <w:r w:rsidR="0014121F">
              <w:t>.</w:t>
            </w:r>
          </w:p>
        </w:tc>
        <w:tc>
          <w:tcPr>
            <w:tcW w:w="990" w:type="dxa"/>
            <w:shd w:val="clear" w:color="auto" w:fill="auto"/>
            <w:vAlign w:val="center"/>
          </w:tcPr>
          <w:p w14:paraId="62478C81" w14:textId="77777777" w:rsidR="0014121F" w:rsidRDefault="0014121F" w:rsidP="003C6D79">
            <w:pPr>
              <w:jc w:val="center"/>
            </w:pPr>
          </w:p>
        </w:tc>
        <w:tc>
          <w:tcPr>
            <w:tcW w:w="990" w:type="dxa"/>
            <w:shd w:val="clear" w:color="auto" w:fill="auto"/>
            <w:vAlign w:val="center"/>
          </w:tcPr>
          <w:p w14:paraId="6DE618B6" w14:textId="77777777" w:rsidR="0014121F" w:rsidRDefault="0014121F" w:rsidP="003C6D79">
            <w:pPr>
              <w:jc w:val="center"/>
            </w:pPr>
          </w:p>
        </w:tc>
      </w:tr>
      <w:tr w:rsidR="0014121F" w14:paraId="41BC0060" w14:textId="77777777" w:rsidTr="003C6D79">
        <w:trPr>
          <w:trHeight w:val="315"/>
        </w:trPr>
        <w:tc>
          <w:tcPr>
            <w:tcW w:w="540" w:type="dxa"/>
            <w:tcBorders>
              <w:top w:val="nil"/>
              <w:left w:val="nil"/>
              <w:bottom w:val="nil"/>
              <w:right w:val="single" w:sz="4" w:space="0" w:color="auto"/>
            </w:tcBorders>
            <w:shd w:val="clear" w:color="auto" w:fill="auto"/>
            <w:noWrap/>
            <w:vAlign w:val="center"/>
          </w:tcPr>
          <w:p w14:paraId="031531D6" w14:textId="77777777" w:rsidR="0014121F" w:rsidRDefault="0014121F" w:rsidP="000E52A0">
            <w:pPr>
              <w:jc w:val="both"/>
              <w:rPr>
                <w:rFonts w:ascii="Arial" w:hAnsi="Arial" w:cs="Arial"/>
                <w:sz w:val="16"/>
                <w:szCs w:val="16"/>
              </w:rPr>
            </w:pPr>
          </w:p>
        </w:tc>
        <w:tc>
          <w:tcPr>
            <w:tcW w:w="6930" w:type="dxa"/>
            <w:tcBorders>
              <w:left w:val="single" w:sz="4" w:space="0" w:color="auto"/>
            </w:tcBorders>
            <w:shd w:val="clear" w:color="auto" w:fill="auto"/>
            <w:vAlign w:val="center"/>
          </w:tcPr>
          <w:p w14:paraId="5F2586E7" w14:textId="77777777" w:rsidR="0014121F" w:rsidRDefault="0056648C" w:rsidP="0056648C">
            <w:pPr>
              <w:tabs>
                <w:tab w:val="left" w:pos="376"/>
              </w:tabs>
              <w:ind w:left="376" w:hanging="360"/>
              <w:jc w:val="both"/>
            </w:pPr>
            <w:r>
              <w:t>f</w:t>
            </w:r>
            <w:r w:rsidR="0014121F">
              <w:t>.</w:t>
            </w:r>
            <w:r w:rsidR="0014121F">
              <w:tab/>
              <w:t xml:space="preserve">The money is </w:t>
            </w:r>
            <w:r>
              <w:t>used for general purposes</w:t>
            </w:r>
            <w:r w:rsidR="0014121F">
              <w:t>.</w:t>
            </w:r>
          </w:p>
        </w:tc>
        <w:tc>
          <w:tcPr>
            <w:tcW w:w="990" w:type="dxa"/>
            <w:shd w:val="clear" w:color="auto" w:fill="auto"/>
            <w:vAlign w:val="center"/>
          </w:tcPr>
          <w:p w14:paraId="3DB5338C" w14:textId="77777777" w:rsidR="0014121F" w:rsidRDefault="0014121F" w:rsidP="003C6D79">
            <w:pPr>
              <w:jc w:val="center"/>
            </w:pPr>
          </w:p>
        </w:tc>
        <w:tc>
          <w:tcPr>
            <w:tcW w:w="990" w:type="dxa"/>
            <w:shd w:val="clear" w:color="auto" w:fill="auto"/>
            <w:vAlign w:val="center"/>
          </w:tcPr>
          <w:p w14:paraId="6B87545A" w14:textId="77777777" w:rsidR="0014121F" w:rsidRDefault="0014121F" w:rsidP="003C6D79">
            <w:pPr>
              <w:jc w:val="center"/>
            </w:pPr>
          </w:p>
        </w:tc>
      </w:tr>
      <w:tr w:rsidR="0014121F" w14:paraId="5099DD97" w14:textId="77777777" w:rsidTr="003C6D79">
        <w:trPr>
          <w:trHeight w:val="315"/>
        </w:trPr>
        <w:tc>
          <w:tcPr>
            <w:tcW w:w="540" w:type="dxa"/>
            <w:tcBorders>
              <w:top w:val="nil"/>
              <w:left w:val="nil"/>
              <w:bottom w:val="nil"/>
              <w:right w:val="single" w:sz="4" w:space="0" w:color="auto"/>
            </w:tcBorders>
            <w:shd w:val="clear" w:color="auto" w:fill="auto"/>
            <w:noWrap/>
            <w:vAlign w:val="center"/>
          </w:tcPr>
          <w:p w14:paraId="64672A21" w14:textId="77777777" w:rsidR="0014121F" w:rsidRDefault="0014121F" w:rsidP="000E52A0">
            <w:pPr>
              <w:jc w:val="both"/>
              <w:rPr>
                <w:rFonts w:ascii="Arial" w:hAnsi="Arial" w:cs="Arial"/>
                <w:sz w:val="16"/>
                <w:szCs w:val="16"/>
              </w:rPr>
            </w:pPr>
          </w:p>
        </w:tc>
        <w:tc>
          <w:tcPr>
            <w:tcW w:w="6930" w:type="dxa"/>
            <w:tcBorders>
              <w:left w:val="single" w:sz="4" w:space="0" w:color="auto"/>
              <w:bottom w:val="single" w:sz="4" w:space="0" w:color="auto"/>
            </w:tcBorders>
            <w:shd w:val="clear" w:color="auto" w:fill="auto"/>
            <w:vAlign w:val="center"/>
          </w:tcPr>
          <w:p w14:paraId="64C82A39" w14:textId="77777777" w:rsidR="0014121F" w:rsidRDefault="0056648C" w:rsidP="0056648C">
            <w:pPr>
              <w:tabs>
                <w:tab w:val="left" w:pos="376"/>
              </w:tabs>
              <w:ind w:left="376" w:hanging="360"/>
              <w:jc w:val="both"/>
            </w:pPr>
            <w:r>
              <w:t>g</w:t>
            </w:r>
            <w:r w:rsidR="0014121F">
              <w:t>.</w:t>
            </w:r>
            <w:r w:rsidR="0014121F">
              <w:tab/>
              <w:t xml:space="preserve">The legislature wishes </w:t>
            </w:r>
            <w:r>
              <w:t>to review expenditure and appropriation levels each biennium.</w:t>
            </w:r>
          </w:p>
        </w:tc>
        <w:tc>
          <w:tcPr>
            <w:tcW w:w="990" w:type="dxa"/>
            <w:tcBorders>
              <w:bottom w:val="single" w:sz="4" w:space="0" w:color="auto"/>
            </w:tcBorders>
            <w:shd w:val="clear" w:color="auto" w:fill="auto"/>
            <w:vAlign w:val="center"/>
          </w:tcPr>
          <w:p w14:paraId="6E08BEAC" w14:textId="77777777" w:rsidR="0014121F" w:rsidRDefault="0014121F" w:rsidP="003C6D79">
            <w:pPr>
              <w:jc w:val="center"/>
            </w:pPr>
          </w:p>
        </w:tc>
        <w:tc>
          <w:tcPr>
            <w:tcW w:w="990" w:type="dxa"/>
            <w:tcBorders>
              <w:bottom w:val="single" w:sz="4" w:space="0" w:color="auto"/>
            </w:tcBorders>
            <w:shd w:val="clear" w:color="auto" w:fill="auto"/>
            <w:vAlign w:val="center"/>
          </w:tcPr>
          <w:p w14:paraId="6087B0E3" w14:textId="77777777" w:rsidR="0014121F" w:rsidRDefault="0014121F" w:rsidP="003C6D79">
            <w:pPr>
              <w:jc w:val="center"/>
            </w:pPr>
          </w:p>
        </w:tc>
      </w:tr>
      <w:tr w:rsidR="0014121F" w14:paraId="27C28C22" w14:textId="77777777" w:rsidTr="003C6D79">
        <w:trPr>
          <w:trHeight w:val="315"/>
        </w:trPr>
        <w:tc>
          <w:tcPr>
            <w:tcW w:w="540" w:type="dxa"/>
            <w:tcBorders>
              <w:top w:val="nil"/>
              <w:left w:val="nil"/>
              <w:bottom w:val="nil"/>
              <w:right w:val="single" w:sz="4" w:space="0" w:color="auto"/>
            </w:tcBorders>
            <w:shd w:val="clear" w:color="auto" w:fill="auto"/>
            <w:noWrap/>
            <w:vAlign w:val="center"/>
          </w:tcPr>
          <w:p w14:paraId="39D6BDA0" w14:textId="77777777" w:rsidR="0014121F" w:rsidRDefault="0014121F" w:rsidP="000E52A0">
            <w:pPr>
              <w:jc w:val="both"/>
              <w:rPr>
                <w:rFonts w:ascii="Arial" w:hAnsi="Arial" w:cs="Arial"/>
                <w:sz w:val="16"/>
                <w:szCs w:val="16"/>
              </w:rPr>
            </w:pPr>
          </w:p>
        </w:tc>
        <w:tc>
          <w:tcPr>
            <w:tcW w:w="6930" w:type="dxa"/>
            <w:tcBorders>
              <w:left w:val="single" w:sz="4" w:space="0" w:color="auto"/>
              <w:bottom w:val="single" w:sz="4" w:space="0" w:color="auto"/>
            </w:tcBorders>
            <w:shd w:val="clear" w:color="auto" w:fill="auto"/>
            <w:vAlign w:val="center"/>
          </w:tcPr>
          <w:p w14:paraId="7E357FCF" w14:textId="77777777" w:rsidR="0014121F" w:rsidRDefault="0056648C" w:rsidP="00F46C13">
            <w:pPr>
              <w:tabs>
                <w:tab w:val="left" w:pos="376"/>
              </w:tabs>
              <w:ind w:left="376" w:hanging="360"/>
              <w:jc w:val="both"/>
            </w:pPr>
            <w:r>
              <w:t>h</w:t>
            </w:r>
            <w:r w:rsidR="0014121F">
              <w:t>.</w:t>
            </w:r>
            <w:r w:rsidR="0014121F">
              <w:tab/>
            </w:r>
            <w:r w:rsidR="00F46C13">
              <w:t>A</w:t>
            </w:r>
            <w:r w:rsidR="0014121F">
              <w:t xml:space="preserve">n expenditure cap and sunset date are </w:t>
            </w:r>
            <w:r w:rsidR="00F46C13">
              <w:t>excluded</w:t>
            </w:r>
            <w:r w:rsidR="0014121F">
              <w:t>.</w:t>
            </w:r>
          </w:p>
        </w:tc>
        <w:tc>
          <w:tcPr>
            <w:tcW w:w="990" w:type="dxa"/>
            <w:tcBorders>
              <w:bottom w:val="single" w:sz="4" w:space="0" w:color="auto"/>
            </w:tcBorders>
            <w:shd w:val="clear" w:color="auto" w:fill="auto"/>
            <w:vAlign w:val="center"/>
          </w:tcPr>
          <w:p w14:paraId="65751C7C" w14:textId="77777777" w:rsidR="0014121F" w:rsidRDefault="0014121F" w:rsidP="003C6D79">
            <w:pPr>
              <w:jc w:val="center"/>
            </w:pPr>
          </w:p>
        </w:tc>
        <w:tc>
          <w:tcPr>
            <w:tcW w:w="990" w:type="dxa"/>
            <w:tcBorders>
              <w:bottom w:val="single" w:sz="4" w:space="0" w:color="auto"/>
            </w:tcBorders>
            <w:shd w:val="clear" w:color="auto" w:fill="auto"/>
            <w:vAlign w:val="center"/>
          </w:tcPr>
          <w:p w14:paraId="58D2BDA7" w14:textId="77777777" w:rsidR="0014121F" w:rsidRDefault="0014121F" w:rsidP="003C6D79">
            <w:pPr>
              <w:jc w:val="center"/>
            </w:pPr>
          </w:p>
        </w:tc>
      </w:tr>
      <w:tr w:rsidR="0014121F" w14:paraId="64B751BE" w14:textId="77777777" w:rsidTr="003C6D79">
        <w:trPr>
          <w:trHeight w:val="315"/>
        </w:trPr>
        <w:tc>
          <w:tcPr>
            <w:tcW w:w="9450" w:type="dxa"/>
            <w:gridSpan w:val="4"/>
            <w:tcBorders>
              <w:top w:val="nil"/>
              <w:left w:val="nil"/>
              <w:bottom w:val="nil"/>
              <w:right w:val="nil"/>
            </w:tcBorders>
            <w:shd w:val="clear" w:color="auto" w:fill="auto"/>
            <w:noWrap/>
            <w:vAlign w:val="bottom"/>
          </w:tcPr>
          <w:p w14:paraId="6D86AD5F" w14:textId="77777777" w:rsidR="003C6D79" w:rsidRDefault="003C6D79" w:rsidP="000E52A0">
            <w:pPr>
              <w:jc w:val="both"/>
            </w:pPr>
          </w:p>
          <w:p w14:paraId="62B5F81E" w14:textId="77777777" w:rsidR="0014121F" w:rsidRDefault="0014121F" w:rsidP="000E52A0">
            <w:pPr>
              <w:jc w:val="both"/>
            </w:pPr>
            <w:r>
              <w:t xml:space="preserve">Comments:  </w:t>
            </w:r>
          </w:p>
          <w:p w14:paraId="79FC723C" w14:textId="77777777" w:rsidR="0014121F" w:rsidRDefault="0014121F" w:rsidP="000E52A0">
            <w:pPr>
              <w:jc w:val="both"/>
            </w:pPr>
          </w:p>
        </w:tc>
      </w:tr>
    </w:tbl>
    <w:p w14:paraId="67C7E03B" w14:textId="77777777" w:rsidR="0014121F" w:rsidRDefault="0014121F" w:rsidP="000E52A0">
      <w:pPr>
        <w:jc w:val="both"/>
      </w:pPr>
    </w:p>
    <w:p w14:paraId="24B593E4" w14:textId="77777777" w:rsidR="00D31D3F" w:rsidRPr="00D31D3F" w:rsidRDefault="00D31D3F" w:rsidP="00D31D3F">
      <w:pPr>
        <w:pStyle w:val="line-indent"/>
        <w:shd w:val="clear" w:color="auto" w:fill="FFFFFF"/>
        <w:spacing w:before="0" w:beforeAutospacing="0" w:after="0" w:afterAutospacing="0"/>
        <w:ind w:firstLine="317"/>
        <w:jc w:val="both"/>
        <w:rPr>
          <w:rFonts w:ascii="Arial" w:hAnsi="Arial" w:cs="Arial"/>
          <w:color w:val="333333"/>
          <w:sz w:val="16"/>
          <w:szCs w:val="16"/>
        </w:rPr>
      </w:pPr>
      <w:r w:rsidRPr="00D31D3F">
        <w:rPr>
          <w:rStyle w:val="citation"/>
          <w:rFonts w:ascii="Arial" w:hAnsi="Arial" w:cs="Arial"/>
          <w:b/>
          <w:bCs/>
          <w:color w:val="333333"/>
          <w:sz w:val="16"/>
          <w:szCs w:val="16"/>
        </w:rPr>
        <w:t>17-1-508</w:t>
      </w:r>
      <w:r w:rsidRPr="00D31D3F">
        <w:rPr>
          <w:rStyle w:val="catchline"/>
          <w:rFonts w:ascii="Arial" w:hAnsi="Arial" w:cs="Arial"/>
          <w:b/>
          <w:bCs/>
          <w:color w:val="333333"/>
          <w:sz w:val="16"/>
          <w:szCs w:val="16"/>
        </w:rPr>
        <w:t>.</w:t>
      </w:r>
      <w:r w:rsidRPr="00D31D3F">
        <w:rPr>
          <w:rStyle w:val="catchline"/>
          <w:rFonts w:ascii="Arial" w:hAnsi="Arial" w:cs="Arial"/>
          <w:b/>
          <w:bCs/>
          <w:color w:val="333333"/>
          <w:sz w:val="16"/>
          <w:szCs w:val="16"/>
        </w:rPr>
        <w:t> </w:t>
      </w:r>
      <w:r w:rsidRPr="00D31D3F">
        <w:rPr>
          <w:rStyle w:val="catchline"/>
          <w:rFonts w:ascii="Arial" w:hAnsi="Arial" w:cs="Arial"/>
          <w:b/>
          <w:bCs/>
          <w:color w:val="333333"/>
          <w:sz w:val="16"/>
          <w:szCs w:val="16"/>
        </w:rPr>
        <w:t>Review of statutory appropriations.</w:t>
      </w:r>
      <w:r w:rsidRPr="00D31D3F">
        <w:rPr>
          <w:rFonts w:ascii="Arial" w:hAnsi="Arial" w:cs="Arial"/>
          <w:color w:val="333333"/>
          <w:sz w:val="16"/>
          <w:szCs w:val="16"/>
        </w:rPr>
        <w:t> (1) Each biennium, the office of budget and program planning shall, in development of the executive budget, review and identify instances in which statutory appropriations in current law do not appear consistent with the guidelines set forth in subsection (2).</w:t>
      </w:r>
    </w:p>
    <w:p w14:paraId="64F75D5B" w14:textId="77777777" w:rsidR="00D31D3F" w:rsidRPr="00D31D3F" w:rsidRDefault="00D31D3F" w:rsidP="00D31D3F">
      <w:pPr>
        <w:pStyle w:val="line-indent"/>
        <w:shd w:val="clear" w:color="auto" w:fill="FFFFFF"/>
        <w:spacing w:before="0" w:beforeAutospacing="0" w:after="0" w:afterAutospacing="0"/>
        <w:ind w:firstLine="317"/>
        <w:jc w:val="both"/>
        <w:rPr>
          <w:rFonts w:ascii="Arial" w:hAnsi="Arial" w:cs="Arial"/>
          <w:color w:val="333333"/>
          <w:sz w:val="16"/>
          <w:szCs w:val="16"/>
        </w:rPr>
      </w:pPr>
      <w:r w:rsidRPr="00D31D3F">
        <w:rPr>
          <w:rFonts w:ascii="Arial" w:hAnsi="Arial" w:cs="Arial"/>
          <w:color w:val="333333"/>
          <w:sz w:val="16"/>
          <w:szCs w:val="16"/>
        </w:rPr>
        <w:t>(2)</w:t>
      </w:r>
      <w:r w:rsidRPr="00D31D3F">
        <w:rPr>
          <w:rFonts w:ascii="Arial" w:hAnsi="Arial" w:cs="Arial"/>
          <w:color w:val="333333"/>
          <w:sz w:val="16"/>
          <w:szCs w:val="16"/>
        </w:rPr>
        <w:t> </w:t>
      </w:r>
      <w:r w:rsidRPr="00D31D3F">
        <w:rPr>
          <w:rFonts w:ascii="Arial" w:hAnsi="Arial" w:cs="Arial"/>
          <w:color w:val="333333"/>
          <w:sz w:val="16"/>
          <w:szCs w:val="16"/>
        </w:rPr>
        <w:t>The review of statutory appropriations must determine whether a statutory appropriation meets the requirements of </w:t>
      </w:r>
      <w:hyperlink r:id="rId7" w:history="1">
        <w:r w:rsidRPr="00D31D3F">
          <w:rPr>
            <w:rStyle w:val="citation"/>
            <w:rFonts w:ascii="Arial" w:hAnsi="Arial" w:cs="Arial"/>
            <w:b/>
            <w:bCs/>
            <w:color w:val="070707"/>
            <w:sz w:val="16"/>
            <w:szCs w:val="16"/>
          </w:rPr>
          <w:t>17-7-502</w:t>
        </w:r>
      </w:hyperlink>
      <w:r w:rsidRPr="00D31D3F">
        <w:rPr>
          <w:rFonts w:ascii="Arial" w:hAnsi="Arial" w:cs="Arial"/>
          <w:color w:val="333333"/>
          <w:sz w:val="16"/>
          <w:szCs w:val="16"/>
        </w:rPr>
        <w:t>. Except as provided in [</w:t>
      </w:r>
      <w:hyperlink r:id="rId8" w:history="1">
        <w:r w:rsidRPr="00D31D3F">
          <w:rPr>
            <w:rStyle w:val="citation"/>
            <w:rFonts w:ascii="Arial" w:hAnsi="Arial" w:cs="Arial"/>
            <w:b/>
            <w:bCs/>
            <w:color w:val="070707"/>
            <w:sz w:val="16"/>
            <w:szCs w:val="16"/>
          </w:rPr>
          <w:t>76-17-103</w:t>
        </w:r>
      </w:hyperlink>
      <w:r w:rsidRPr="00D31D3F">
        <w:rPr>
          <w:rFonts w:ascii="Arial" w:hAnsi="Arial" w:cs="Arial"/>
          <w:color w:val="333333"/>
          <w:sz w:val="16"/>
          <w:szCs w:val="16"/>
        </w:rPr>
        <w:t>,] </w:t>
      </w:r>
      <w:hyperlink r:id="rId9" w:history="1">
        <w:r w:rsidRPr="00D31D3F">
          <w:rPr>
            <w:rStyle w:val="citation"/>
            <w:rFonts w:ascii="Arial" w:hAnsi="Arial" w:cs="Arial"/>
            <w:b/>
            <w:bCs/>
            <w:color w:val="070707"/>
            <w:sz w:val="16"/>
            <w:szCs w:val="16"/>
          </w:rPr>
          <w:t>77-1-108</w:t>
        </w:r>
      </w:hyperlink>
      <w:r w:rsidRPr="00D31D3F">
        <w:rPr>
          <w:rFonts w:ascii="Arial" w:hAnsi="Arial" w:cs="Arial"/>
          <w:color w:val="333333"/>
          <w:sz w:val="16"/>
          <w:szCs w:val="16"/>
        </w:rPr>
        <w:t>, and </w:t>
      </w:r>
      <w:hyperlink r:id="rId10" w:history="1">
        <w:r w:rsidRPr="00D31D3F">
          <w:rPr>
            <w:rStyle w:val="citation"/>
            <w:rFonts w:ascii="Arial" w:hAnsi="Arial" w:cs="Arial"/>
            <w:b/>
            <w:bCs/>
            <w:color w:val="070707"/>
            <w:sz w:val="16"/>
            <w:szCs w:val="16"/>
          </w:rPr>
          <w:t>87-5-909</w:t>
        </w:r>
      </w:hyperlink>
      <w:r w:rsidRPr="00D31D3F">
        <w:rPr>
          <w:rFonts w:ascii="Arial" w:hAnsi="Arial" w:cs="Arial"/>
          <w:color w:val="333333"/>
          <w:sz w:val="16"/>
          <w:szCs w:val="16"/>
        </w:rPr>
        <w:t>, a statutory appropriation from a continuing and reliable source of revenue may not be used to fund administrative costs. In reviewing and establishing statutory appropriations, the legislature shall consider the following guidelines. A proposed or existing statutory appropriation may not be considered appropriate if:</w:t>
      </w:r>
    </w:p>
    <w:p w14:paraId="00C54980" w14:textId="77777777" w:rsidR="00D31D3F" w:rsidRPr="00D31D3F" w:rsidRDefault="00D31D3F" w:rsidP="00D31D3F">
      <w:pPr>
        <w:pStyle w:val="line-indent"/>
        <w:shd w:val="clear" w:color="auto" w:fill="FFFFFF"/>
        <w:spacing w:before="0" w:beforeAutospacing="0" w:after="0" w:afterAutospacing="0"/>
        <w:ind w:firstLine="317"/>
        <w:jc w:val="both"/>
        <w:rPr>
          <w:rFonts w:ascii="Arial" w:hAnsi="Arial" w:cs="Arial"/>
          <w:color w:val="333333"/>
          <w:sz w:val="16"/>
          <w:szCs w:val="16"/>
        </w:rPr>
      </w:pPr>
      <w:r w:rsidRPr="00D31D3F">
        <w:rPr>
          <w:rFonts w:ascii="Arial" w:hAnsi="Arial" w:cs="Arial"/>
          <w:color w:val="333333"/>
          <w:sz w:val="16"/>
          <w:szCs w:val="16"/>
        </w:rPr>
        <w:t>(a)</w:t>
      </w:r>
      <w:r w:rsidRPr="00D31D3F">
        <w:rPr>
          <w:rFonts w:ascii="Arial" w:hAnsi="Arial" w:cs="Arial"/>
          <w:color w:val="333333"/>
          <w:sz w:val="16"/>
          <w:szCs w:val="16"/>
        </w:rPr>
        <w:t> </w:t>
      </w:r>
      <w:r w:rsidRPr="00D31D3F">
        <w:rPr>
          <w:rFonts w:ascii="Arial" w:hAnsi="Arial" w:cs="Arial"/>
          <w:color w:val="333333"/>
          <w:sz w:val="16"/>
          <w:szCs w:val="16"/>
        </w:rPr>
        <w:t xml:space="preserve">the money is from a continuing, reliable, and estimable </w:t>
      </w:r>
      <w:proofErr w:type="gramStart"/>
      <w:r w:rsidRPr="00D31D3F">
        <w:rPr>
          <w:rFonts w:ascii="Arial" w:hAnsi="Arial" w:cs="Arial"/>
          <w:color w:val="333333"/>
          <w:sz w:val="16"/>
          <w:szCs w:val="16"/>
        </w:rPr>
        <w:t>source;</w:t>
      </w:r>
      <w:proofErr w:type="gramEnd"/>
    </w:p>
    <w:p w14:paraId="2BA15405" w14:textId="77777777" w:rsidR="00D31D3F" w:rsidRPr="00D31D3F" w:rsidRDefault="00D31D3F" w:rsidP="00D31D3F">
      <w:pPr>
        <w:pStyle w:val="line-indent"/>
        <w:shd w:val="clear" w:color="auto" w:fill="FFFFFF"/>
        <w:spacing w:before="0" w:beforeAutospacing="0" w:after="0" w:afterAutospacing="0"/>
        <w:ind w:firstLine="317"/>
        <w:jc w:val="both"/>
        <w:rPr>
          <w:rFonts w:ascii="Arial" w:hAnsi="Arial" w:cs="Arial"/>
          <w:color w:val="333333"/>
          <w:sz w:val="16"/>
          <w:szCs w:val="16"/>
        </w:rPr>
      </w:pPr>
      <w:r w:rsidRPr="00D31D3F">
        <w:rPr>
          <w:rFonts w:ascii="Arial" w:hAnsi="Arial" w:cs="Arial"/>
          <w:color w:val="333333"/>
          <w:sz w:val="16"/>
          <w:szCs w:val="16"/>
        </w:rPr>
        <w:t>(b)</w:t>
      </w:r>
      <w:r w:rsidRPr="00D31D3F">
        <w:rPr>
          <w:rFonts w:ascii="Arial" w:hAnsi="Arial" w:cs="Arial"/>
          <w:color w:val="333333"/>
          <w:sz w:val="16"/>
          <w:szCs w:val="16"/>
        </w:rPr>
        <w:t> </w:t>
      </w:r>
      <w:r w:rsidRPr="00D31D3F">
        <w:rPr>
          <w:rFonts w:ascii="Arial" w:hAnsi="Arial" w:cs="Arial"/>
          <w:color w:val="333333"/>
          <w:sz w:val="16"/>
          <w:szCs w:val="16"/>
        </w:rPr>
        <w:t xml:space="preserve">the use of the appropriation or the expenditure occurrence is predictable and </w:t>
      </w:r>
      <w:proofErr w:type="gramStart"/>
      <w:r w:rsidRPr="00D31D3F">
        <w:rPr>
          <w:rFonts w:ascii="Arial" w:hAnsi="Arial" w:cs="Arial"/>
          <w:color w:val="333333"/>
          <w:sz w:val="16"/>
          <w:szCs w:val="16"/>
        </w:rPr>
        <w:t>reliable;</w:t>
      </w:r>
      <w:proofErr w:type="gramEnd"/>
    </w:p>
    <w:p w14:paraId="67211736" w14:textId="77777777" w:rsidR="00D31D3F" w:rsidRPr="00D31D3F" w:rsidRDefault="00D31D3F" w:rsidP="00D31D3F">
      <w:pPr>
        <w:pStyle w:val="line-indent"/>
        <w:shd w:val="clear" w:color="auto" w:fill="FFFFFF"/>
        <w:spacing w:before="0" w:beforeAutospacing="0" w:after="0" w:afterAutospacing="0"/>
        <w:ind w:firstLine="317"/>
        <w:jc w:val="both"/>
        <w:rPr>
          <w:rFonts w:ascii="Arial" w:hAnsi="Arial" w:cs="Arial"/>
          <w:color w:val="333333"/>
          <w:sz w:val="16"/>
          <w:szCs w:val="16"/>
        </w:rPr>
      </w:pPr>
      <w:r w:rsidRPr="00D31D3F">
        <w:rPr>
          <w:rFonts w:ascii="Arial" w:hAnsi="Arial" w:cs="Arial"/>
          <w:color w:val="333333"/>
          <w:sz w:val="16"/>
          <w:szCs w:val="16"/>
        </w:rPr>
        <w:t>(c)</w:t>
      </w:r>
      <w:r w:rsidRPr="00D31D3F">
        <w:rPr>
          <w:rFonts w:ascii="Arial" w:hAnsi="Arial" w:cs="Arial"/>
          <w:color w:val="333333"/>
          <w:sz w:val="16"/>
          <w:szCs w:val="16"/>
        </w:rPr>
        <w:t> </w:t>
      </w:r>
      <w:r w:rsidRPr="00D31D3F">
        <w:rPr>
          <w:rFonts w:ascii="Arial" w:hAnsi="Arial" w:cs="Arial"/>
          <w:color w:val="333333"/>
          <w:sz w:val="16"/>
          <w:szCs w:val="16"/>
        </w:rPr>
        <w:t xml:space="preserve">the authority exists </w:t>
      </w:r>
      <w:proofErr w:type="gramStart"/>
      <w:r w:rsidRPr="00D31D3F">
        <w:rPr>
          <w:rFonts w:ascii="Arial" w:hAnsi="Arial" w:cs="Arial"/>
          <w:color w:val="333333"/>
          <w:sz w:val="16"/>
          <w:szCs w:val="16"/>
        </w:rPr>
        <w:t>elsewhere;</w:t>
      </w:r>
      <w:proofErr w:type="gramEnd"/>
    </w:p>
    <w:p w14:paraId="7B845E53" w14:textId="77777777" w:rsidR="00D31D3F" w:rsidRPr="00D31D3F" w:rsidRDefault="00D31D3F" w:rsidP="00D31D3F">
      <w:pPr>
        <w:pStyle w:val="line-indent"/>
        <w:shd w:val="clear" w:color="auto" w:fill="FFFFFF"/>
        <w:spacing w:before="0" w:beforeAutospacing="0" w:after="0" w:afterAutospacing="0"/>
        <w:ind w:firstLine="317"/>
        <w:jc w:val="both"/>
        <w:rPr>
          <w:rFonts w:ascii="Arial" w:hAnsi="Arial" w:cs="Arial"/>
          <w:color w:val="333333"/>
          <w:sz w:val="16"/>
          <w:szCs w:val="16"/>
        </w:rPr>
      </w:pPr>
      <w:r w:rsidRPr="00D31D3F">
        <w:rPr>
          <w:rFonts w:ascii="Arial" w:hAnsi="Arial" w:cs="Arial"/>
          <w:color w:val="333333"/>
          <w:sz w:val="16"/>
          <w:szCs w:val="16"/>
        </w:rPr>
        <w:t>(d)</w:t>
      </w:r>
      <w:r w:rsidRPr="00D31D3F">
        <w:rPr>
          <w:rFonts w:ascii="Arial" w:hAnsi="Arial" w:cs="Arial"/>
          <w:color w:val="333333"/>
          <w:sz w:val="16"/>
          <w:szCs w:val="16"/>
        </w:rPr>
        <w:t> </w:t>
      </w:r>
      <w:r w:rsidRPr="00D31D3F">
        <w:rPr>
          <w:rFonts w:ascii="Arial" w:hAnsi="Arial" w:cs="Arial"/>
          <w:color w:val="333333"/>
          <w:sz w:val="16"/>
          <w:szCs w:val="16"/>
        </w:rPr>
        <w:t xml:space="preserve">an alternative appropriation method is available, practical, or </w:t>
      </w:r>
      <w:proofErr w:type="gramStart"/>
      <w:r w:rsidRPr="00D31D3F">
        <w:rPr>
          <w:rFonts w:ascii="Arial" w:hAnsi="Arial" w:cs="Arial"/>
          <w:color w:val="333333"/>
          <w:sz w:val="16"/>
          <w:szCs w:val="16"/>
        </w:rPr>
        <w:t>effective;</w:t>
      </w:r>
      <w:proofErr w:type="gramEnd"/>
    </w:p>
    <w:p w14:paraId="2023874C" w14:textId="77777777" w:rsidR="00D31D3F" w:rsidRPr="00D31D3F" w:rsidRDefault="00D31D3F" w:rsidP="00D31D3F">
      <w:pPr>
        <w:pStyle w:val="line-indent"/>
        <w:shd w:val="clear" w:color="auto" w:fill="FFFFFF"/>
        <w:spacing w:before="0" w:beforeAutospacing="0" w:after="0" w:afterAutospacing="0"/>
        <w:ind w:firstLine="317"/>
        <w:jc w:val="both"/>
        <w:rPr>
          <w:rFonts w:ascii="Arial" w:hAnsi="Arial" w:cs="Arial"/>
          <w:color w:val="333333"/>
          <w:sz w:val="16"/>
          <w:szCs w:val="16"/>
        </w:rPr>
      </w:pPr>
      <w:r w:rsidRPr="00D31D3F">
        <w:rPr>
          <w:rFonts w:ascii="Arial" w:hAnsi="Arial" w:cs="Arial"/>
          <w:color w:val="333333"/>
          <w:sz w:val="16"/>
          <w:szCs w:val="16"/>
        </w:rPr>
        <w:t>(e)</w:t>
      </w:r>
      <w:r w:rsidRPr="00D31D3F">
        <w:rPr>
          <w:rFonts w:ascii="Arial" w:hAnsi="Arial" w:cs="Arial"/>
          <w:color w:val="333333"/>
          <w:sz w:val="16"/>
          <w:szCs w:val="16"/>
        </w:rPr>
        <w:t> </w:t>
      </w:r>
      <w:r w:rsidRPr="00D31D3F">
        <w:rPr>
          <w:rFonts w:ascii="Arial" w:hAnsi="Arial" w:cs="Arial"/>
          <w:color w:val="333333"/>
          <w:sz w:val="16"/>
          <w:szCs w:val="16"/>
        </w:rPr>
        <w:t xml:space="preserve">it appropriates state general fund money for purposes other than paying for emergency </w:t>
      </w:r>
      <w:proofErr w:type="gramStart"/>
      <w:r w:rsidRPr="00D31D3F">
        <w:rPr>
          <w:rFonts w:ascii="Arial" w:hAnsi="Arial" w:cs="Arial"/>
          <w:color w:val="333333"/>
          <w:sz w:val="16"/>
          <w:szCs w:val="16"/>
        </w:rPr>
        <w:t>services;</w:t>
      </w:r>
      <w:proofErr w:type="gramEnd"/>
    </w:p>
    <w:p w14:paraId="0E0A2CE1" w14:textId="77777777" w:rsidR="00D31D3F" w:rsidRPr="00D31D3F" w:rsidRDefault="00D31D3F" w:rsidP="00D31D3F">
      <w:pPr>
        <w:pStyle w:val="line-indent"/>
        <w:shd w:val="clear" w:color="auto" w:fill="FFFFFF"/>
        <w:spacing w:before="0" w:beforeAutospacing="0" w:after="0" w:afterAutospacing="0"/>
        <w:ind w:firstLine="317"/>
        <w:jc w:val="both"/>
        <w:rPr>
          <w:rFonts w:ascii="Arial" w:hAnsi="Arial" w:cs="Arial"/>
          <w:color w:val="333333"/>
          <w:sz w:val="16"/>
          <w:szCs w:val="16"/>
        </w:rPr>
      </w:pPr>
      <w:r w:rsidRPr="00D31D3F">
        <w:rPr>
          <w:rFonts w:ascii="Arial" w:hAnsi="Arial" w:cs="Arial"/>
          <w:color w:val="333333"/>
          <w:sz w:val="16"/>
          <w:szCs w:val="16"/>
        </w:rPr>
        <w:t>(f)</w:t>
      </w:r>
      <w:r w:rsidRPr="00D31D3F">
        <w:rPr>
          <w:rFonts w:ascii="Arial" w:hAnsi="Arial" w:cs="Arial"/>
          <w:color w:val="333333"/>
          <w:sz w:val="16"/>
          <w:szCs w:val="16"/>
        </w:rPr>
        <w:t> </w:t>
      </w:r>
      <w:r w:rsidRPr="00D31D3F">
        <w:rPr>
          <w:rFonts w:ascii="Arial" w:hAnsi="Arial" w:cs="Arial"/>
          <w:color w:val="333333"/>
          <w:sz w:val="16"/>
          <w:szCs w:val="16"/>
        </w:rPr>
        <w:t xml:space="preserve">the money is used for general </w:t>
      </w:r>
      <w:proofErr w:type="gramStart"/>
      <w:r w:rsidRPr="00D31D3F">
        <w:rPr>
          <w:rFonts w:ascii="Arial" w:hAnsi="Arial" w:cs="Arial"/>
          <w:color w:val="333333"/>
          <w:sz w:val="16"/>
          <w:szCs w:val="16"/>
        </w:rPr>
        <w:t>purposes;</w:t>
      </w:r>
      <w:proofErr w:type="gramEnd"/>
    </w:p>
    <w:p w14:paraId="3768650B" w14:textId="77777777" w:rsidR="00D31D3F" w:rsidRPr="00D31D3F" w:rsidRDefault="00D31D3F" w:rsidP="00D31D3F">
      <w:pPr>
        <w:pStyle w:val="line-indent"/>
        <w:shd w:val="clear" w:color="auto" w:fill="FFFFFF"/>
        <w:spacing w:before="0" w:beforeAutospacing="0" w:after="0" w:afterAutospacing="0"/>
        <w:ind w:firstLine="317"/>
        <w:jc w:val="both"/>
        <w:rPr>
          <w:rFonts w:ascii="Arial" w:hAnsi="Arial" w:cs="Arial"/>
          <w:color w:val="333333"/>
          <w:sz w:val="16"/>
          <w:szCs w:val="16"/>
        </w:rPr>
      </w:pPr>
      <w:r w:rsidRPr="00D31D3F">
        <w:rPr>
          <w:rFonts w:ascii="Arial" w:hAnsi="Arial" w:cs="Arial"/>
          <w:color w:val="333333"/>
          <w:sz w:val="16"/>
          <w:szCs w:val="16"/>
        </w:rPr>
        <w:t>(g)</w:t>
      </w:r>
      <w:r w:rsidRPr="00D31D3F">
        <w:rPr>
          <w:rFonts w:ascii="Arial" w:hAnsi="Arial" w:cs="Arial"/>
          <w:color w:val="333333"/>
          <w:sz w:val="16"/>
          <w:szCs w:val="16"/>
        </w:rPr>
        <w:t> </w:t>
      </w:r>
      <w:r w:rsidRPr="00D31D3F">
        <w:rPr>
          <w:rFonts w:ascii="Arial" w:hAnsi="Arial" w:cs="Arial"/>
          <w:color w:val="333333"/>
          <w:sz w:val="16"/>
          <w:szCs w:val="16"/>
        </w:rPr>
        <w:t>the legislature wishes to review expenditure and appropriation levels each biennium; and</w:t>
      </w:r>
    </w:p>
    <w:p w14:paraId="3AF91E67" w14:textId="77777777" w:rsidR="00D31D3F" w:rsidRPr="00D31D3F" w:rsidRDefault="00D31D3F" w:rsidP="00D31D3F">
      <w:pPr>
        <w:pStyle w:val="line-indent"/>
        <w:shd w:val="clear" w:color="auto" w:fill="FFFFFF"/>
        <w:spacing w:before="0" w:beforeAutospacing="0" w:after="0" w:afterAutospacing="0"/>
        <w:ind w:firstLine="317"/>
        <w:jc w:val="both"/>
        <w:rPr>
          <w:rFonts w:ascii="Arial" w:hAnsi="Arial" w:cs="Arial"/>
          <w:color w:val="333333"/>
          <w:sz w:val="16"/>
          <w:szCs w:val="16"/>
        </w:rPr>
      </w:pPr>
      <w:r w:rsidRPr="00D31D3F">
        <w:rPr>
          <w:rFonts w:ascii="Arial" w:hAnsi="Arial" w:cs="Arial"/>
          <w:color w:val="333333"/>
          <w:sz w:val="16"/>
          <w:szCs w:val="16"/>
        </w:rPr>
        <w:t>(h)</w:t>
      </w:r>
      <w:r w:rsidRPr="00D31D3F">
        <w:rPr>
          <w:rFonts w:ascii="Arial" w:hAnsi="Arial" w:cs="Arial"/>
          <w:color w:val="333333"/>
          <w:sz w:val="16"/>
          <w:szCs w:val="16"/>
        </w:rPr>
        <w:t> </w:t>
      </w:r>
      <w:r w:rsidRPr="00D31D3F">
        <w:rPr>
          <w:rFonts w:ascii="Arial" w:hAnsi="Arial" w:cs="Arial"/>
          <w:color w:val="333333"/>
          <w:sz w:val="16"/>
          <w:szCs w:val="16"/>
        </w:rPr>
        <w:t>an expenditure cap and sunset date are excluded.</w:t>
      </w:r>
    </w:p>
    <w:p w14:paraId="0210333B" w14:textId="77777777" w:rsidR="00D31D3F" w:rsidRPr="00D31D3F" w:rsidRDefault="00D31D3F" w:rsidP="00D31D3F">
      <w:pPr>
        <w:pStyle w:val="line-indent"/>
        <w:shd w:val="clear" w:color="auto" w:fill="FFFFFF"/>
        <w:spacing w:before="0" w:beforeAutospacing="0" w:after="0" w:afterAutospacing="0"/>
        <w:ind w:firstLine="317"/>
        <w:jc w:val="both"/>
        <w:rPr>
          <w:rFonts w:ascii="Arial" w:hAnsi="Arial" w:cs="Arial"/>
          <w:color w:val="333333"/>
          <w:sz w:val="16"/>
          <w:szCs w:val="16"/>
        </w:rPr>
      </w:pPr>
      <w:r w:rsidRPr="00D31D3F">
        <w:rPr>
          <w:rFonts w:ascii="Arial" w:hAnsi="Arial" w:cs="Arial"/>
          <w:color w:val="333333"/>
          <w:sz w:val="16"/>
          <w:szCs w:val="16"/>
        </w:rPr>
        <w:lastRenderedPageBreak/>
        <w:t>(3)</w:t>
      </w:r>
      <w:r w:rsidRPr="00D31D3F">
        <w:rPr>
          <w:rFonts w:ascii="Arial" w:hAnsi="Arial" w:cs="Arial"/>
          <w:color w:val="333333"/>
          <w:sz w:val="16"/>
          <w:szCs w:val="16"/>
        </w:rPr>
        <w:t> </w:t>
      </w:r>
      <w:r w:rsidRPr="00D31D3F">
        <w:rPr>
          <w:rFonts w:ascii="Arial" w:hAnsi="Arial" w:cs="Arial"/>
          <w:color w:val="333333"/>
          <w:sz w:val="16"/>
          <w:szCs w:val="16"/>
        </w:rPr>
        <w:t>The office of budget and program planning shall prepare a fiscal note for each piece of legislation that proposes to create or amend a statutory appropriation. It shall, consistent with the guidelines in this section, review each of these pieces of legislation. Its findings concerning the statutory appropriation must be contained in the fiscal note accompanying that legislation. </w:t>
      </w:r>
      <w:r w:rsidRPr="00D31D3F">
        <w:rPr>
          <w:rStyle w:val="effective-clause"/>
          <w:rFonts w:ascii="Arial" w:hAnsi="Arial" w:cs="Arial"/>
          <w:i/>
          <w:iCs/>
          <w:color w:val="333333"/>
          <w:sz w:val="16"/>
          <w:szCs w:val="16"/>
        </w:rPr>
        <w:t>(Bracketed language in subsection (2) terminates June 30, 2027--sec. 10, Ch. 374, L. 2017.)</w:t>
      </w:r>
    </w:p>
    <w:p w14:paraId="79F21B16" w14:textId="77777777" w:rsidR="0014121F" w:rsidRDefault="0014121F"/>
    <w:sectPr w:rsidR="0014121F" w:rsidSect="003C6D7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44D82" w14:textId="77777777" w:rsidR="00D31D3F" w:rsidRDefault="00D31D3F" w:rsidP="003C6D79">
      <w:r>
        <w:separator/>
      </w:r>
    </w:p>
  </w:endnote>
  <w:endnote w:type="continuationSeparator" w:id="0">
    <w:p w14:paraId="1034DC33" w14:textId="77777777" w:rsidR="00D31D3F" w:rsidRDefault="00D31D3F" w:rsidP="003C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4AAB" w14:textId="77777777" w:rsidR="003C6D79" w:rsidRPr="003C6D79" w:rsidRDefault="003C6D79" w:rsidP="003C6D79">
    <w:pPr>
      <w:pStyle w:val="Footer"/>
      <w:tabs>
        <w:tab w:val="clear" w:pos="4680"/>
      </w:tabs>
      <w:rPr>
        <w:sz w:val="16"/>
        <w:szCs w:val="16"/>
      </w:rPr>
    </w:pPr>
    <w:r>
      <w:rPr>
        <w:sz w:val="16"/>
        <w:szCs w:val="16"/>
      </w:rPr>
      <w:t>Statutory Appropriation</w:t>
    </w:r>
    <w:r w:rsidRPr="003C6D79">
      <w:rPr>
        <w:sz w:val="16"/>
        <w:szCs w:val="16"/>
      </w:rPr>
      <w:tab/>
      <w:t xml:space="preserve">Page </w:t>
    </w:r>
    <w:r w:rsidR="002C0747" w:rsidRPr="003C6D79">
      <w:rPr>
        <w:sz w:val="16"/>
        <w:szCs w:val="16"/>
      </w:rPr>
      <w:fldChar w:fldCharType="begin"/>
    </w:r>
    <w:r w:rsidRPr="003C6D79">
      <w:rPr>
        <w:sz w:val="16"/>
        <w:szCs w:val="16"/>
      </w:rPr>
      <w:instrText xml:space="preserve"> PAGE </w:instrText>
    </w:r>
    <w:r w:rsidR="002C0747" w:rsidRPr="003C6D79">
      <w:rPr>
        <w:sz w:val="16"/>
        <w:szCs w:val="16"/>
      </w:rPr>
      <w:fldChar w:fldCharType="separate"/>
    </w:r>
    <w:r w:rsidR="00641B27">
      <w:rPr>
        <w:noProof/>
        <w:sz w:val="16"/>
        <w:szCs w:val="16"/>
      </w:rPr>
      <w:t>1</w:t>
    </w:r>
    <w:r w:rsidR="002C0747" w:rsidRPr="003C6D79">
      <w:rPr>
        <w:sz w:val="16"/>
        <w:szCs w:val="16"/>
      </w:rPr>
      <w:fldChar w:fldCharType="end"/>
    </w:r>
    <w:r w:rsidRPr="003C6D79">
      <w:rPr>
        <w:sz w:val="16"/>
        <w:szCs w:val="16"/>
      </w:rPr>
      <w:t xml:space="preserve"> of </w:t>
    </w:r>
    <w:r w:rsidR="002C0747" w:rsidRPr="003C6D79">
      <w:rPr>
        <w:sz w:val="16"/>
        <w:szCs w:val="16"/>
      </w:rPr>
      <w:fldChar w:fldCharType="begin"/>
    </w:r>
    <w:r w:rsidRPr="003C6D79">
      <w:rPr>
        <w:sz w:val="16"/>
        <w:szCs w:val="16"/>
      </w:rPr>
      <w:instrText xml:space="preserve"> NUMPAGES </w:instrText>
    </w:r>
    <w:r w:rsidR="002C0747" w:rsidRPr="003C6D79">
      <w:rPr>
        <w:sz w:val="16"/>
        <w:szCs w:val="16"/>
      </w:rPr>
      <w:fldChar w:fldCharType="separate"/>
    </w:r>
    <w:r w:rsidR="00641B27">
      <w:rPr>
        <w:noProof/>
        <w:sz w:val="16"/>
        <w:szCs w:val="16"/>
      </w:rPr>
      <w:t>1</w:t>
    </w:r>
    <w:r w:rsidR="002C0747" w:rsidRPr="003C6D79">
      <w:rPr>
        <w:sz w:val="16"/>
        <w:szCs w:val="16"/>
      </w:rPr>
      <w:fldChar w:fldCharType="end"/>
    </w:r>
  </w:p>
  <w:p w14:paraId="5F646673" w14:textId="77777777" w:rsidR="003C6D79" w:rsidRPr="003C6D79" w:rsidRDefault="002C0747" w:rsidP="003C6D79">
    <w:pPr>
      <w:pStyle w:val="Footer"/>
      <w:tabs>
        <w:tab w:val="clear" w:pos="4680"/>
      </w:tabs>
      <w:rPr>
        <w:sz w:val="16"/>
        <w:szCs w:val="16"/>
      </w:rPr>
    </w:pPr>
    <w:r w:rsidRPr="003C6D79">
      <w:rPr>
        <w:sz w:val="16"/>
        <w:szCs w:val="16"/>
      </w:rPr>
      <w:fldChar w:fldCharType="begin"/>
    </w:r>
    <w:r w:rsidR="003C6D79" w:rsidRPr="003C6D79">
      <w:rPr>
        <w:sz w:val="16"/>
        <w:szCs w:val="16"/>
      </w:rPr>
      <w:instrText xml:space="preserve"> DATE \@ "M/d/yyyy" </w:instrText>
    </w:r>
    <w:r w:rsidRPr="003C6D79">
      <w:rPr>
        <w:sz w:val="16"/>
        <w:szCs w:val="16"/>
      </w:rPr>
      <w:fldChar w:fldCharType="separate"/>
    </w:r>
    <w:r w:rsidR="00D31D3F">
      <w:rPr>
        <w:noProof/>
        <w:sz w:val="16"/>
        <w:szCs w:val="16"/>
      </w:rPr>
      <w:t>12/2/2022</w:t>
    </w:r>
    <w:r w:rsidRPr="003C6D79">
      <w:rPr>
        <w:sz w:val="16"/>
        <w:szCs w:val="16"/>
      </w:rPr>
      <w:fldChar w:fldCharType="end"/>
    </w:r>
  </w:p>
  <w:p w14:paraId="29BB2BEF" w14:textId="77777777" w:rsidR="003C6D79" w:rsidRPr="003C6D79" w:rsidRDefault="003C6D79" w:rsidP="003C6D79">
    <w:pPr>
      <w:pStyle w:val="Footer"/>
      <w:tabs>
        <w:tab w:val="clear" w:pos="468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BF1FC" w14:textId="77777777" w:rsidR="00D31D3F" w:rsidRDefault="00D31D3F" w:rsidP="003C6D79">
      <w:r>
        <w:separator/>
      </w:r>
    </w:p>
  </w:footnote>
  <w:footnote w:type="continuationSeparator" w:id="0">
    <w:p w14:paraId="609DA30E" w14:textId="77777777" w:rsidR="00D31D3F" w:rsidRDefault="00D31D3F" w:rsidP="003C6D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3F"/>
    <w:rsid w:val="000E52A0"/>
    <w:rsid w:val="0013363A"/>
    <w:rsid w:val="0014121F"/>
    <w:rsid w:val="001E0040"/>
    <w:rsid w:val="002C0747"/>
    <w:rsid w:val="002C3E1B"/>
    <w:rsid w:val="003151D2"/>
    <w:rsid w:val="00325DEA"/>
    <w:rsid w:val="00353972"/>
    <w:rsid w:val="003C6D79"/>
    <w:rsid w:val="0056648C"/>
    <w:rsid w:val="005F5421"/>
    <w:rsid w:val="00641B27"/>
    <w:rsid w:val="00644474"/>
    <w:rsid w:val="00661BD6"/>
    <w:rsid w:val="00692E67"/>
    <w:rsid w:val="00717B2F"/>
    <w:rsid w:val="00AE7970"/>
    <w:rsid w:val="00D31D3F"/>
    <w:rsid w:val="00DF11AE"/>
    <w:rsid w:val="00EA2CAA"/>
    <w:rsid w:val="00F46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E56A5"/>
  <w15:docId w15:val="{A7945E32-84B6-40FC-B8C2-5E05CFAB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12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6D79"/>
    <w:pPr>
      <w:jc w:val="center"/>
    </w:pPr>
    <w:rPr>
      <w:b/>
      <w:sz w:val="28"/>
      <w:szCs w:val="20"/>
    </w:rPr>
  </w:style>
  <w:style w:type="character" w:customStyle="1" w:styleId="TitleChar">
    <w:name w:val="Title Char"/>
    <w:basedOn w:val="DefaultParagraphFont"/>
    <w:link w:val="Title"/>
    <w:rsid w:val="003C6D79"/>
    <w:rPr>
      <w:b/>
      <w:sz w:val="28"/>
    </w:rPr>
  </w:style>
  <w:style w:type="paragraph" w:styleId="Header">
    <w:name w:val="header"/>
    <w:basedOn w:val="Normal"/>
    <w:link w:val="HeaderChar"/>
    <w:rsid w:val="003C6D79"/>
    <w:pPr>
      <w:tabs>
        <w:tab w:val="center" w:pos="4680"/>
        <w:tab w:val="right" w:pos="9360"/>
      </w:tabs>
    </w:pPr>
  </w:style>
  <w:style w:type="character" w:customStyle="1" w:styleId="HeaderChar">
    <w:name w:val="Header Char"/>
    <w:basedOn w:val="DefaultParagraphFont"/>
    <w:link w:val="Header"/>
    <w:rsid w:val="003C6D79"/>
    <w:rPr>
      <w:sz w:val="24"/>
      <w:szCs w:val="24"/>
    </w:rPr>
  </w:style>
  <w:style w:type="paragraph" w:styleId="Footer">
    <w:name w:val="footer"/>
    <w:basedOn w:val="Normal"/>
    <w:link w:val="FooterChar"/>
    <w:rsid w:val="003C6D79"/>
    <w:pPr>
      <w:tabs>
        <w:tab w:val="center" w:pos="4680"/>
        <w:tab w:val="right" w:pos="9360"/>
      </w:tabs>
    </w:pPr>
  </w:style>
  <w:style w:type="character" w:customStyle="1" w:styleId="FooterChar">
    <w:name w:val="Footer Char"/>
    <w:basedOn w:val="DefaultParagraphFont"/>
    <w:link w:val="Footer"/>
    <w:uiPriority w:val="99"/>
    <w:rsid w:val="003C6D79"/>
    <w:rPr>
      <w:sz w:val="24"/>
      <w:szCs w:val="24"/>
    </w:rPr>
  </w:style>
  <w:style w:type="paragraph" w:styleId="BalloonText">
    <w:name w:val="Balloon Text"/>
    <w:basedOn w:val="Normal"/>
    <w:link w:val="BalloonTextChar"/>
    <w:rsid w:val="003C6D79"/>
    <w:rPr>
      <w:rFonts w:ascii="Tahoma" w:hAnsi="Tahoma" w:cs="Tahoma"/>
      <w:sz w:val="16"/>
      <w:szCs w:val="16"/>
    </w:rPr>
  </w:style>
  <w:style w:type="character" w:customStyle="1" w:styleId="BalloonTextChar">
    <w:name w:val="Balloon Text Char"/>
    <w:basedOn w:val="DefaultParagraphFont"/>
    <w:link w:val="BalloonText"/>
    <w:rsid w:val="003C6D79"/>
    <w:rPr>
      <w:rFonts w:ascii="Tahoma" w:hAnsi="Tahoma" w:cs="Tahoma"/>
      <w:sz w:val="16"/>
      <w:szCs w:val="16"/>
    </w:rPr>
  </w:style>
  <w:style w:type="paragraph" w:customStyle="1" w:styleId="line-indent">
    <w:name w:val="line-indent"/>
    <w:basedOn w:val="Normal"/>
    <w:rsid w:val="00D31D3F"/>
    <w:pPr>
      <w:spacing w:before="100" w:beforeAutospacing="1" w:after="100" w:afterAutospacing="1"/>
    </w:pPr>
  </w:style>
  <w:style w:type="character" w:customStyle="1" w:styleId="catchline">
    <w:name w:val="catchline"/>
    <w:basedOn w:val="DefaultParagraphFont"/>
    <w:rsid w:val="00D31D3F"/>
  </w:style>
  <w:style w:type="character" w:customStyle="1" w:styleId="citation">
    <w:name w:val="citation"/>
    <w:basedOn w:val="DefaultParagraphFont"/>
    <w:rsid w:val="00D31D3F"/>
  </w:style>
  <w:style w:type="character" w:customStyle="1" w:styleId="effective-clause">
    <w:name w:val="effective-clause"/>
    <w:basedOn w:val="DefaultParagraphFont"/>
    <w:rsid w:val="00D31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mt.gov/bills/mca/title_0760/chapter_0170/part_0010/section_0030/0760-0170-0010-0030.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eg.mt.gov/bills/mca/title_0170/chapter_0070/part_0050/section_0020/0170-0070-0050-0020.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leg.mt.gov/bills/mca/title_0870/chapter_0050/part_0090/section_0090/0870-0050-0090-0090.html" TargetMode="External"/><Relationship Id="rId4" Type="http://schemas.openxmlformats.org/officeDocument/2006/relationships/footnotes" Target="footnotes.xml"/><Relationship Id="rId9" Type="http://schemas.openxmlformats.org/officeDocument/2006/relationships/hyperlink" Target="https://leg.mt.gov/bills/mca/title_0770/chapter_0010/part_0010/section_0080/0770-0010-0010-008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SESSION\Template\Statutory%20Appropriation%20Template%20202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Statutory Appropriation Template 2023</Template>
  <TotalTime>10</TotalTime>
  <Pages>2</Pages>
  <Words>445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Answer yes or no to each of the following subsections of 17-1-508 (2) regarding statutory appropriation analysis in proposed legislation when preparing a fiscal note</vt:lpstr>
    </vt:vector>
  </TitlesOfParts>
  <Company>State of Montana</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yes or no to each of the following subsections of 17-1-508 (2) regarding statutory appropriation analysis in proposed legislation when preparing a fiscal note</dc:title>
  <dc:creator>Hall, Nancy</dc:creator>
  <cp:lastModifiedBy>Hall, Nancy</cp:lastModifiedBy>
  <cp:revision>1</cp:revision>
  <dcterms:created xsi:type="dcterms:W3CDTF">2022-12-02T23:01:00Z</dcterms:created>
  <dcterms:modified xsi:type="dcterms:W3CDTF">2022-12-02T23:12:00Z</dcterms:modified>
</cp:coreProperties>
</file>